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78785</wp:posOffset>
                </wp:positionH>
                <wp:positionV relativeFrom="paragraph">
                  <wp:posOffset>200499</wp:posOffset>
                </wp:positionV>
                <wp:extent cx="5718810" cy="6800224"/>
                <wp:effectExtent l="12700" t="12700" r="21590" b="1968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718810" cy="68002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pPr>
                            <w:r>
                              <w:rPr>
                                <w:rFonts w:ascii="Times New Roman" w:hAnsi="Times New Roman" w:eastAsia="Times New Roman" w:cs="Times New Roman"/>
                                <w:b/>
                                <w:color w:val="000000"/>
                                <w:sz w:val="24"/>
                              </w:rPr>
                              <w:t xml:space="preserve">Số: 275/2026/0143/VFI-CT.63.A</w:t>
                            </w:r>
                            <w:r>
                              <w:rPr>
                                <w:b/>
                              </w:rPr>
                              <w:t xml:space="preserve"> </w:t>
                            </w:r>
                            <w:r>
                              <w:rPr>
                                <w:rFonts w:ascii="Times New Roman" w:hAnsi="Times New Roman" w:eastAsia="Times New Roman" w:cs="Times New Roman"/>
                                <w:sz w:val="24"/>
                              </w:rPr>
                            </w: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Ngân hàng nông nghiệp và phát triển nông thôn Việt Nam - Chi nhánh Thạch Thất</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center"/>
                              <w:rPr>
                                <w:b/>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w:t>
                            </w:r>
                            <w:r>
                              <w:rPr>
                                <w:b/>
                              </w:rPr>
                            </w:r>
                            <w:r>
                              <w:rPr>
                                <w:b/>
                              </w:rP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color w:val="000000"/>
                                <w:sz w:val="24"/>
                              </w:rPr>
                              <w:t xml:space="preserve">Tài sản 1: Quyền sử dụng đất tại thửa đất số: 204, tờ bản đồ số: 38, có địa chỉ: Thôn Hòa Lạc, xã Bình Yên, huyện Thạch Thất, thành phố Hà Nội (nay là thôn Hòa Lạc, xã Hòa Lạc, thành phố Hà Nội) theo Giấy chứng nhận quyền sử dụng đất, quyền sở hữu nhà ở và</w:t>
                            </w:r>
                            <w:r>
                              <w:rPr>
                                <w:rFonts w:ascii="Times New Roman" w:hAnsi="Times New Roman" w:eastAsia="Times New Roman" w:cs="Times New Roman"/>
                                <w:color w:val="000000"/>
                                <w:sz w:val="24"/>
                              </w:rPr>
                              <w:t xml:space="preserve"> tài sản khác gắn liền với đất số: DL 206763, Số vào sổ cấp GCN: CN 00137 do Chi nhánh Văn phòng Đăng ký Đất đai Hà Nội - Huyện Thạch Thất cấp ngày 15/7/2023; chủ sử dụng đất là Ông Giang Văn Thăng và Bà Lê Thị Hà. </w:t>
                              <w:tab/>
                              <w:tab/>
                              <w:tab/>
                              <w:br/>
                              <w:t xml:space="preserve"> Tài sản 2: Quyền sử dụng đất tại thử</w:t>
                            </w:r>
                            <w:r>
                              <w:rPr>
                                <w:rFonts w:ascii="Times New Roman" w:hAnsi="Times New Roman" w:eastAsia="Times New Roman" w:cs="Times New Roman"/>
                                <w:color w:val="000000"/>
                                <w:sz w:val="24"/>
                              </w:rPr>
                              <w:t xml:space="preserve">a đất số: 205, tờ bản đồ số: 38, có địa chỉ: Thôn Hòa Lạc, xã Bình Yên, huyện Thạch Thất, thành phố Hà Nội (nay là thôn Hòa Lạc, xã Hòa Lạc, thành phố Hà Nội) theo Giấy chứng nhận quyền sử dụng đất, quyền sở hữu nhà ở và tài sản khác gắn liền với đất số: D</w:t>
                            </w:r>
                            <w:r>
                              <w:rPr>
                                <w:rFonts w:ascii="Times New Roman" w:hAnsi="Times New Roman" w:eastAsia="Times New Roman" w:cs="Times New Roman"/>
                                <w:color w:val="000000"/>
                                <w:sz w:val="24"/>
                              </w:rPr>
                              <w:t xml:space="preserve">L 206764, Số vào sổ cấp GCN: CN 00138 do Chi nhánh Văn phòng Đăng ký Đất đai Hà Nội - Huyện Thạch Thất cấp ngày 15/7/2023; chủ sử dụng đất là Ông Giang Văn Thăng và Bà Lê Thị Hà. </w:t>
                              <w:tab/>
                              <w:tab/>
                              <w:tab/>
                            </w:r>
                            <w:r>
                              <w:rPr>
                                <w:rFonts w:ascii="Times New Roman" w:hAnsi="Times New Roman" w:eastAsia="Times New Roman" w:cs="Times New Roman"/>
                                <w:sz w:val="24"/>
                              </w:rPr>
                            </w:r>
                            <w:r/>
                          </w:p>
                          <w:p>
                            <w:pPr>
                              <w:pBdr/>
                              <w:spacing w:after="120" w:before="120" w:line="360" w:lineRule="auto"/>
                              <w:ind/>
                              <w:jc w:val="center"/>
                              <w:rPr>
                                <w:lang w:val="pt-BR"/>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lang w:val="pt-BR"/>
                              </w:rPr>
                            </w:r>
                            <w:r>
                              <w:rPr>
                                <w:lang w:val="pt-BR"/>
                              </w:rPr>
                            </w:r>
                          </w:p>
                          <w:p>
                            <w:pPr>
                              <w:pBdr/>
                              <w:spacing w:after="120" w:before="120" w:line="360" w:lineRule="auto"/>
                              <w:ind/>
                              <w:jc w:val="center"/>
                              <w:rPr>
                                <w:bCs/>
                                <w:i/>
                                <w:iCs/>
                              </w:rPr>
                            </w:pPr>
                            <w:r>
                              <w:rPr>
                                <w:bCs/>
                                <w:i/>
                                <w:iCs/>
                              </w:rPr>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20pt;mso-position-horizontal:absolute;mso-position-vertical-relative:text;margin-top:15.79pt;mso-position-vertical:absolute;width:450.30pt;height:535.4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pPr>
                      <w:r>
                        <w:rPr>
                          <w:rFonts w:ascii="Times New Roman" w:hAnsi="Times New Roman" w:eastAsia="Times New Roman" w:cs="Times New Roman"/>
                          <w:b/>
                          <w:color w:val="000000"/>
                          <w:sz w:val="24"/>
                        </w:rPr>
                        <w:t xml:space="preserve">Số: 275/2026/0143/VFI-CT.63.A</w:t>
                      </w:r>
                      <w:r>
                        <w:rPr>
                          <w:b/>
                        </w:rPr>
                        <w:t xml:space="preserve"> </w:t>
                      </w:r>
                      <w:r>
                        <w:rPr>
                          <w:rFonts w:ascii="Times New Roman" w:hAnsi="Times New Roman" w:eastAsia="Times New Roman" w:cs="Times New Roman"/>
                          <w:sz w:val="24"/>
                        </w:rPr>
                      </w: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Ngân hàng nông nghiệp và phát triển nông thôn Việt Nam - Chi nhánh Thạch Thất</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center"/>
                        <w:rPr>
                          <w:b/>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w:t>
                      </w:r>
                      <w:r>
                        <w:rPr>
                          <w:b/>
                        </w:rPr>
                      </w:r>
                      <w:r>
                        <w:rPr>
                          <w:b/>
                        </w:rP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color w:val="000000"/>
                          <w:sz w:val="24"/>
                        </w:rPr>
                        <w:t xml:space="preserve">Tài sản 1: Quyền sử dụng đất tại thửa đất số: 204, tờ bản đồ số: 38, có địa chỉ: Thôn Hòa Lạc, xã Bình Yên, huyện Thạch Thất, thành phố Hà Nội (nay là thôn Hòa Lạc, xã Hòa Lạc, thành phố Hà Nội) theo Giấy chứng nhận quyền sử dụng đất, quyền sở hữu nhà ở và</w:t>
                      </w:r>
                      <w:r>
                        <w:rPr>
                          <w:rFonts w:ascii="Times New Roman" w:hAnsi="Times New Roman" w:eastAsia="Times New Roman" w:cs="Times New Roman"/>
                          <w:color w:val="000000"/>
                          <w:sz w:val="24"/>
                        </w:rPr>
                        <w:t xml:space="preserve"> tài sản khác gắn liền với đất số: DL 206763, Số vào sổ cấp GCN: CN 00137 do Chi nhánh Văn phòng Đăng ký Đất đai Hà Nội - Huyện Thạch Thất cấp ngày 15/7/2023; chủ sử dụng đất là Ông Giang Văn Thăng và Bà Lê Thị Hà. </w:t>
                        <w:tab/>
                        <w:tab/>
                        <w:tab/>
                        <w:br/>
                        <w:t xml:space="preserve"> Tài sản 2: Quyền sử dụng đất tại thử</w:t>
                      </w:r>
                      <w:r>
                        <w:rPr>
                          <w:rFonts w:ascii="Times New Roman" w:hAnsi="Times New Roman" w:eastAsia="Times New Roman" w:cs="Times New Roman"/>
                          <w:color w:val="000000"/>
                          <w:sz w:val="24"/>
                        </w:rPr>
                        <w:t xml:space="preserve">a đất số: 205, tờ bản đồ số: 38, có địa chỉ: Thôn Hòa Lạc, xã Bình Yên, huyện Thạch Thất, thành phố Hà Nội (nay là thôn Hòa Lạc, xã Hòa Lạc, thành phố Hà Nội) theo Giấy chứng nhận quyền sử dụng đất, quyền sở hữu nhà ở và tài sản khác gắn liền với đất số: D</w:t>
                      </w:r>
                      <w:r>
                        <w:rPr>
                          <w:rFonts w:ascii="Times New Roman" w:hAnsi="Times New Roman" w:eastAsia="Times New Roman" w:cs="Times New Roman"/>
                          <w:color w:val="000000"/>
                          <w:sz w:val="24"/>
                        </w:rPr>
                        <w:t xml:space="preserve">L 206764, Số vào sổ cấp GCN: CN 00138 do Chi nhánh Văn phòng Đăng ký Đất đai Hà Nội - Huyện Thạch Thất cấp ngày 15/7/2023; chủ sử dụng đất là Ông Giang Văn Thăng và Bà Lê Thị Hà. </w:t>
                        <w:tab/>
                        <w:tab/>
                        <w:tab/>
                      </w:r>
                      <w:r>
                        <w:rPr>
                          <w:rFonts w:ascii="Times New Roman" w:hAnsi="Times New Roman" w:eastAsia="Times New Roman" w:cs="Times New Roman"/>
                          <w:sz w:val="24"/>
                        </w:rPr>
                      </w:r>
                      <w:r/>
                    </w:p>
                    <w:p>
                      <w:pPr>
                        <w:pBdr/>
                        <w:spacing w:after="120" w:before="120" w:line="360" w:lineRule="auto"/>
                        <w:ind/>
                        <w:jc w:val="center"/>
                        <w:rPr>
                          <w:lang w:val="pt-BR"/>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lang w:val="pt-BR"/>
                        </w:rPr>
                      </w:r>
                      <w:r>
                        <w:rPr>
                          <w:lang w:val="pt-BR"/>
                        </w:rPr>
                      </w:r>
                    </w:p>
                    <w:p>
                      <w:pPr>
                        <w:pBdr/>
                        <w:spacing w:after="120" w:before="120" w:line="360" w:lineRule="auto"/>
                        <w:ind/>
                        <w:jc w:val="center"/>
                        <w:rPr>
                          <w:bCs/>
                          <w:i/>
                          <w:iCs/>
                        </w:rPr>
                      </w:pPr>
                      <w:r>
                        <w:rPr>
                          <w:bCs/>
                          <w:i/>
                          <w:iCs/>
                        </w:rPr>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7152"/>
        <w:gridCol w:w="2219"/>
      </w:tblGrid>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r>
            <w:r>
              <w:rPr>
                <w:b/>
                <w:bCs/>
              </w:rPr>
            </w:r>
            <w:r>
              <w:rPr>
                <w:b/>
                <w:bCs/>
              </w:rPr>
            </w:r>
          </w:p>
        </w:tc>
      </w:tr>
      <w:tr>
        <w:trPr/>
        <w:tc>
          <w:tcPr>
            <w:shd w:val="clear" w:color="auto" w:fill="auto"/>
            <w:tcBorders/>
            <w:tcMar>
              <w:left w:w="108" w:type="dxa"/>
              <w:right w:w="108" w:type="dxa"/>
            </w:tcMar>
            <w:tcW w:w="7280" w:type="dxa"/>
            <w:vAlign w:val="center"/>
            <w:textDirection w:val="lrTb"/>
            <w:noWrap w:val="false"/>
          </w:tcPr>
          <w:p>
            <w:pPr>
              <w:pStyle w:val="1032"/>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shd w:val="clear" w:color="auto" w:fill="auto"/>
            <w:tcBorders/>
            <w:tcMar>
              <w:left w:w="108" w:type="dxa"/>
              <w:right w:w="108" w:type="dxa"/>
            </w:tcMar>
            <w:tcW w:w="7280" w:type="dxa"/>
            <w:vAlign w:val="center"/>
            <w:textDirection w:val="lrTb"/>
            <w:noWrap w:val="false"/>
          </w:tcPr>
          <w:p>
            <w:pPr>
              <w:pStyle w:val="1032"/>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1"/>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22"/>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31"/>
              <w:pBdr/>
              <w:spacing w:after="60"/>
              <w:ind w:right="-56"/>
              <w:jc w:val="left"/>
              <w:rPr>
                <w:color w:val="000000" w:themeColor="text1"/>
                <w:sz w:val="24"/>
                <w:szCs w:val="24"/>
              </w:rPr>
            </w:pPr>
            <w:r>
              <w:rPr>
                <w:rStyle w:val="1030"/>
                <w:rFonts w:ascii="Times New Roman" w:hAnsi="Times New Roman"/>
                <w:color w:val="000000" w:themeColor="text1"/>
                <w:lang w:val="pt-BR"/>
              </w:rPr>
              <w:t xml:space="preserve">Số</w:t>
            </w:r>
            <w:r>
              <w:rPr>
                <w:rStyle w:val="1030"/>
                <w:rFonts w:ascii="Times New Roman" w:hAnsi="Times New Roman"/>
                <w:color w:val="000000" w:themeColor="text1"/>
                <w:lang w:val="pt-BR"/>
              </w:rPr>
              <w:t xml:space="preserve">: </w:t>
            </w:r>
            <w:r>
              <w:rPr>
                <w:rStyle w:val="1030"/>
                <w:rFonts w:ascii="Times New Roman" w:hAnsi="Times New Roman"/>
                <w:i w:val="0"/>
                <w:iCs w:val="0"/>
                <w:color w:val="auto"/>
              </w:rPr>
              <w:t xml:space="preserve">275/2026/0143/VFI-CT.63.A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31"/>
              <w:pBdr/>
              <w:spacing w:after="60"/>
              <w:ind w:right="-56"/>
              <w:jc w:val="right"/>
              <w:rPr>
                <w:color w:val="000000" w:themeColor="text1"/>
                <w:sz w:val="24"/>
                <w:szCs w:val="24"/>
                <w:lang w:val="vi-VN"/>
              </w:rPr>
            </w:pPr>
            <w:r>
              <w:rPr>
                <w:rStyle w:val="1030"/>
                <w:rFonts w:ascii="Times New Roman" w:hAnsi="Times New Roman"/>
                <w:i/>
                <w:color w:val="auto"/>
              </w:rPr>
              <w:t xml:space="preserve">TP. </w:t>
            </w:r>
            <w:r>
              <w:rPr>
                <w:rStyle w:val="1030"/>
                <w:rFonts w:ascii="Times New Roman" w:hAnsi="Times New Roman"/>
                <w:i/>
                <w:color w:val="auto"/>
              </w:rPr>
              <w:t xml:space="preserve">Hà</w:t>
            </w:r>
            <w:r>
              <w:rPr>
                <w:rStyle w:val="1030"/>
                <w:rFonts w:ascii="Times New Roman" w:hAnsi="Times New Roman"/>
                <w:i/>
                <w:color w:val="auto"/>
              </w:rPr>
              <w:t xml:space="preserve"> </w:t>
            </w:r>
            <w:r>
              <w:rPr>
                <w:rStyle w:val="1030"/>
                <w:rFonts w:ascii="Times New Roman" w:hAnsi="Times New Roman"/>
                <w:i/>
                <w:color w:val="auto"/>
              </w:rPr>
              <w:t xml:space="preserve">Nội</w:t>
            </w:r>
            <w:r>
              <w:rPr>
                <w:rStyle w:val="1030"/>
                <w:rFonts w:ascii="Times New Roman" w:hAnsi="Times New Roman"/>
                <w:i/>
                <w:color w:val="auto"/>
                <w:lang w:val="vi-VN"/>
              </w:rPr>
              <w:t xml:space="preserve">, </w:t>
            </w:r>
            <w:r>
              <w:rPr>
                <w:rStyle w:val="1030"/>
                <w:rFonts w:ascii="Times New Roman" w:hAnsi="Times New Roman"/>
                <w:i/>
                <w:color w:val="000000" w:themeColor="text1"/>
                <w:lang w:val="vi-VN"/>
              </w:rPr>
              <w:t xml:space="preserve">ngày 20 tháng 1 năm 2026</w:t>
            </w:r>
            <w:r>
              <w:rPr>
                <w:color w:val="000000" w:themeColor="text1"/>
                <w:sz w:val="24"/>
                <w:szCs w:val="24"/>
                <w:lang w:val="vi-VN"/>
              </w:rPr>
            </w:r>
            <w:r>
              <w:rPr>
                <w:color w:val="000000" w:themeColor="text1"/>
                <w:sz w:val="24"/>
                <w:szCs w:val="24"/>
                <w:lang w:val="vi-VN"/>
              </w:rPr>
            </w:r>
          </w:p>
        </w:tc>
      </w:tr>
    </w:tbl>
    <w:p>
      <w:pPr>
        <w:pStyle w:val="1031"/>
        <w:pBdr/>
        <w:spacing w:after="120" w:before="200" w:line="288" w:lineRule="auto"/>
        <w:ind/>
        <w:jc w:val="center"/>
        <w:rPr>
          <w:rStyle w:val="1030"/>
          <w:rFonts w:ascii="Times New Roman" w:hAnsi="Times New Roman"/>
          <w:b/>
          <w:bCs/>
          <w:color w:val="auto"/>
          <w:sz w:val="30"/>
          <w:szCs w:val="30"/>
          <w:lang w:val="vi-VN"/>
        </w:rPr>
      </w:pPr>
      <w:r>
        <w:rPr>
          <w:rStyle w:val="1030"/>
          <w:rFonts w:ascii="Times New Roman" w:hAnsi="Times New Roman"/>
          <w:b/>
          <w:bCs/>
          <w:color w:val="auto"/>
          <w:sz w:val="30"/>
          <w:szCs w:val="30"/>
          <w:lang w:val="vi-VN"/>
        </w:rPr>
        <w:t xml:space="preserve">CHỨNG THƯ THẨM ĐỊNH GIÁ</w:t>
      </w:r>
      <w:r>
        <w:rPr>
          <w:rStyle w:val="1030"/>
          <w:rFonts w:ascii="Times New Roman" w:hAnsi="Times New Roman"/>
          <w:b/>
          <w:bCs/>
          <w:color w:val="auto"/>
          <w:sz w:val="30"/>
          <w:szCs w:val="30"/>
          <w:lang w:val="vi-VN"/>
        </w:rPr>
      </w:r>
      <w:r>
        <w:rPr>
          <w:rStyle w:val="1030"/>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Ngân hàng nông nghiệp và phát triển nông thôn Việt Nam - Chi nhánh Thạch Thất</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275/2025/0143/VFI-HĐTĐ.63.A</w:t>
      </w:r>
      <w:r>
        <w:rPr>
          <w:color w:val="000000" w:themeColor="text1"/>
          <w:spacing w:val="-4"/>
        </w:rPr>
        <w:t xml:space="preserve"> </w:t>
      </w:r>
      <w:r>
        <w:rPr>
          <w:spacing w:val="-4"/>
          <w:lang w:val="vi-VN"/>
        </w:rPr>
        <w:t xml:space="preserve">ký ngày </w:t>
      </w:r>
      <w:r>
        <w:rPr>
          <w:color w:val="000000" w:themeColor="text1"/>
          <w:spacing w:val="-4"/>
        </w:rPr>
        <w:t xml:space="preserve">18 tháng 1 năm 2026</w:t>
      </w:r>
      <w:r>
        <w:rPr>
          <w:spacing w:val="-4"/>
          <w:lang w:val="vi-VN"/>
        </w:rPr>
        <w:t xml:space="preserve"> </w:t>
      </w:r>
      <w:r>
        <w:rPr>
          <w:spacing w:val="-4"/>
          <w:lang w:val="vi-VN"/>
        </w:rPr>
        <w:t xml:space="preserve">giữa </w:t>
      </w:r>
      <w:r>
        <w:rPr>
          <w:color w:val="000000" w:themeColor="text1"/>
          <w:spacing w:val="-4"/>
        </w:rPr>
        <w:t xml:space="preserve">Ngân hàng nông nghiệp và phát triển nông thôn Việt Nam - Chi nhánh Thạch Thất</w:t>
      </w:r>
      <w:r>
        <w:rPr>
          <w:color w:val="000000" w:themeColor="text1"/>
          <w:spacing w:val="-4"/>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275/2026/022/VFI-BC.34</w:t>
      </w:r>
      <w:r>
        <w:rPr>
          <w:color w:val="000000" w:themeColor="text1"/>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20 tháng 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spacing w:val="-2"/>
          <w:lang w:val="pt-BR"/>
        </w:rPr>
        <w:t xml:space="preserve">Công ty Cổ phần Thẩm định và Đầu tư Tài chính Hoa Sen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Style w:val="1036"/>
        <w:tblInd w:w="108" w:type="dxa"/>
        <w:tblW w:w="485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2154"/>
        <w:gridCol w:w="283"/>
        <w:gridCol w:w="7011"/>
      </w:tblGrid>
      <w:tr>
        <w:trPr>
          <w:trHeight w:val="538"/>
        </w:trPr>
        <w:tc>
          <w:tcPr>
            <w:tcBorders/>
            <w:tcMar>
              <w:left w:w="108" w:type="dxa"/>
              <w:top w:w="0" w:type="dxa"/>
              <w:right w:w="108" w:type="dxa"/>
              <w:bottom w:w="0" w:type="dxa"/>
            </w:tcMar>
            <w:tcW w:w="215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123"/>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01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NGÂN HÀNG NÔNG NGHIỆP VÀ PHÁT TRIỂN NÔNG THÔN VIỆT NAM – CHI NHÁNH THẠCH THẤT</w:t>
            </w:r>
            <w:r/>
          </w:p>
        </w:tc>
      </w:tr>
      <w:tr>
        <w:trPr>
          <w:trHeight w:val="20"/>
        </w:trPr>
        <w:tc>
          <w:tcPr>
            <w:tcBorders/>
            <w:tcMar>
              <w:left w:w="108" w:type="dxa"/>
              <w:top w:w="0" w:type="dxa"/>
              <w:right w:w="108" w:type="dxa"/>
              <w:bottom w:w="0" w:type="dxa"/>
            </w:tcMar>
            <w:tcW w:w="215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123"/>
              <w:rPr/>
            </w:pPr>
            <w:r>
              <w:rPr>
                <w:rFonts w:ascii="Times New Roman" w:hAnsi="Times New Roman" w:eastAsia="Times New Roman" w:cs="Times New Roman"/>
                <w:color w:val="000000"/>
                <w:sz w:val="24"/>
              </w:rPr>
              <w:t xml:space="preserve">MST:</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011"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88" w:lineRule="auto"/>
              <w:ind w:right="0" w:firstLine="0" w:left="0"/>
              <w:jc w:val="both"/>
              <w:rPr/>
            </w:pPr>
            <w:r>
              <w:rPr>
                <w:rFonts w:ascii="Times New Roman" w:hAnsi="Times New Roman" w:eastAsia="Times New Roman" w:cs="Times New Roman"/>
                <w:color w:val="000000"/>
                <w:sz w:val="24"/>
              </w:rPr>
              <w:t xml:space="preserve">0100686174-385</w:t>
            </w:r>
            <w:r/>
          </w:p>
        </w:tc>
      </w:tr>
      <w:tr>
        <w:trPr>
          <w:trHeight w:val="20"/>
        </w:trPr>
        <w:tc>
          <w:tcPr>
            <w:tcBorders/>
            <w:tcMar>
              <w:left w:w="108" w:type="dxa"/>
              <w:top w:w="0" w:type="dxa"/>
              <w:right w:w="108" w:type="dxa"/>
              <w:bottom w:w="0" w:type="dxa"/>
            </w:tcMar>
            <w:tcW w:w="215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hanging="180" w:left="57"/>
              <w:rPr/>
            </w:pPr>
            <w:r>
              <w:rPr>
                <w:rFonts w:ascii="Times New Roman" w:hAnsi="Times New Roman" w:eastAsia="Times New Roman" w:cs="Times New Roman"/>
                <w:color w:val="000000"/>
                <w:sz w:val="24"/>
              </w:rPr>
              <w:t xml:space="preserve">Đại diện:</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011"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b/>
                <w:color w:val="000000"/>
                <w:sz w:val="24"/>
              </w:rPr>
              <w:t xml:space="preserve">Lưu Thu Phương -      Chức vụ: Phó GĐ</w:t>
            </w:r>
            <w:r/>
          </w:p>
        </w:tc>
      </w:tr>
      <w:tr>
        <w:trPr>
          <w:trHeight w:val="20"/>
        </w:trPr>
        <w:tc>
          <w:tcPr>
            <w:tcBorders/>
            <w:tcMar>
              <w:left w:w="108" w:type="dxa"/>
              <w:top w:w="0" w:type="dxa"/>
              <w:right w:w="108" w:type="dxa"/>
              <w:bottom w:w="0" w:type="dxa"/>
            </w:tcMar>
            <w:tcW w:w="215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hanging="123" w:left="0"/>
              <w:rPr/>
            </w:pPr>
            <w:r>
              <w:rPr>
                <w:rFonts w:ascii="Times New Roman" w:hAnsi="Times New Roman" w:eastAsia="Times New Roman" w:cs="Times New Roman"/>
                <w:color w:val="000000"/>
                <w:sz w:val="24"/>
              </w:rPr>
              <w:t xml:space="preserve">Địa chỉ</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011"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88" w:lineRule="auto"/>
              <w:ind w:right="0" w:firstLine="0" w:left="0"/>
              <w:jc w:val="both"/>
              <w:rPr/>
            </w:pPr>
            <w:r>
              <w:rPr>
                <w:rFonts w:ascii="Times New Roman" w:hAnsi="Times New Roman" w:eastAsia="Times New Roman" w:cs="Times New Roman"/>
                <w:color w:val="000000"/>
                <w:sz w:val="24"/>
              </w:rPr>
              <w:t xml:space="preserve">Đường 419, xã Thạch Thất, thành phố Hà Nội</w:t>
            </w:r>
            <w:r/>
          </w:p>
        </w:tc>
      </w:tr>
    </w:tbl>
    <w:p>
      <w:pPr>
        <w:pBdr/>
        <w:spacing w:after="120" w:before="120" w:line="276" w:lineRule="auto"/>
        <w:ind/>
        <w:jc w:val="both"/>
        <w:rPr>
          <w:b/>
          <w:bCs/>
          <w:highlight w:val="none"/>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highlight w:val="none"/>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shd w:val="clear" w:color="auto" w:fill="auto"/>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shd w:val="clear" w:color="auto" w:fill="auto"/>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shd w:val="clear" w:color="auto" w:fill="auto"/>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shd w:val="clear" w:color="auto" w:fill="auto"/>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shd w:val="clear" w:color="auto" w:fill="auto"/>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lang w:val="vi-VN"/>
              </w:rPr>
            </w:r>
            <w:r>
              <w:rPr>
                <w:b/>
                <w:bCs/>
                <w:lang w:val="vi-VN"/>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rPr>
                <w:bCs/>
              </w:rPr>
              <w:t xml:space="preserve">Chức</w:t>
            </w:r>
            <w:r>
              <w:rPr>
                <w:bCs/>
              </w:rPr>
              <w:t xml:space="preserve"> </w:t>
            </w:r>
            <w:r>
              <w:rPr>
                <w:bCs/>
              </w:rPr>
              <w:t xml:space="preserve">vụ</w:t>
            </w:r>
            <w:r>
              <w:rPr>
                <w:bCs/>
              </w:rPr>
            </w:r>
            <w:r>
              <w:rPr>
                <w:bCs/>
              </w:rPr>
            </w:r>
          </w:p>
        </w:tc>
        <w:tc>
          <w:tcPr>
            <w:shd w:val="clear" w:color="auto" w:fill="auto"/>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rPr>
            </w:pPr>
            <w:r>
              <w:rPr>
                <w:b/>
                <w:bCs/>
              </w:rPr>
              <w:t xml:space="preserve">Chủ tịch HĐQT kiêm Tổng Giám Đốc</w:t>
            </w:r>
            <w:r>
              <w:rPr>
                <w:b/>
                <w:bCs/>
              </w:rPr>
            </w:r>
            <w:r>
              <w:rPr>
                <w:b/>
                <w:bCs/>
              </w:rPr>
            </w:r>
          </w:p>
        </w:tc>
      </w:tr>
    </w:tbl>
    <w:p>
      <w:pPr>
        <w:pBdr/>
        <w:spacing w:after="120" w:before="120" w:line="278" w:lineRule="auto"/>
        <w:ind/>
        <w:jc w:val="both"/>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t xml:space="preserve"> </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Tài sản 1: Quyền sử dụng đất tại thửa đất số: 204, tờ bản đồ số: 38, có địa chỉ: Thôn Hòa Lạc, xã Bình Yên, huyện Thạch Thất, thành phố Hà Nội (nay là thôn Hòa Lạc, xã Hòa Lạc, thành phố Hà Nội) theo Giấy chứng nhận quyền sử dụng đất, quyền sở hữu nhà ở và</w:t>
      </w:r>
      <w:r>
        <w:rPr>
          <w:rFonts w:ascii="Times New Roman" w:hAnsi="Times New Roman" w:eastAsia="Times New Roman" w:cs="Times New Roman"/>
          <w:color w:val="000000"/>
          <w:sz w:val="24"/>
        </w:rPr>
        <w:t xml:space="preserve"> tài sản khác gắn liền với đất số: DL 206763, Số vào sổ cấp GCN: CN 00137 do Chi nhánh Văn phòng Đăng ký Đất đai Hà Nội - Huyện Thạch Thất cấp ngày 15/7/2023; chủ sử dụng đất là Ông Giang Văn Thăng và Bà Lê Thị Hà.</w:t>
        <w:br/>
        <w:t xml:space="preserve"> Tài sản 2: Quyền sử dụng đất tại thửa đấ</w:t>
      </w:r>
      <w:r>
        <w:rPr>
          <w:rFonts w:ascii="Times New Roman" w:hAnsi="Times New Roman" w:eastAsia="Times New Roman" w:cs="Times New Roman"/>
          <w:color w:val="000000"/>
          <w:sz w:val="24"/>
        </w:rPr>
        <w:t xml:space="preserve">t số: 205, tờ bản đồ số: 38, có địa chỉ: Thôn Hòa Lạc, xã Bình Yên, huyện Thạch Thất, thành phố Hà Nội (nay là thôn Hòa Lạc, xã Hòa Lạc, thành phố Hà Nội) theo Giấy chứng nhận quyền sử dụng đất, quyền sở hữu nhà ở và tài sản khác gắn liền với đất  số: DL 2</w:t>
      </w:r>
      <w:r>
        <w:rPr>
          <w:rFonts w:ascii="Times New Roman" w:hAnsi="Times New Roman" w:eastAsia="Times New Roman" w:cs="Times New Roman"/>
          <w:color w:val="000000"/>
          <w:sz w:val="24"/>
        </w:rPr>
        <w:t xml:space="preserve">06764, Số vào sổ cấp GCN: CN 00138 do Chi nhánh Văn phòng Đăng ký Đất đai Hà Nội - Huyện Thạch Thất cấp ngày 15/7/2023; chủ sử dụng đất là Ông Giang Văn Thăng và Bà Lê Thị Hà. </w:t>
        <w:tab/>
        <w:tab/>
        <w:tab/>
      </w:r>
      <w:r>
        <w:rPr>
          <w:rFonts w:ascii="Times New Roman" w:hAnsi="Times New Roman" w:eastAsia="Times New Roman" w:cs="Times New Roman"/>
          <w:sz w:val="24"/>
        </w:rPr>
      </w:r>
      <w:r/>
    </w:p>
    <w:p>
      <w:pPr>
        <w:pBdr/>
        <w:spacing w:after="120" w:before="120" w:line="278"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pPr>
        <w:pBdr/>
        <w:tabs>
          <w:tab w:val="left" w:leader="none" w:pos="851"/>
        </w:tabs>
        <w:spacing w:after="120" w:before="120" w:line="278"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Cs/>
          <w:color w:val="000000" w:themeColor="text1"/>
          <w:spacing w:val="-4"/>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278"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278"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278"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278"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278"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278"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278"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278" w:lineRule="auto"/>
        <w:ind/>
        <w:jc w:val="both"/>
        <w:rPr>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bCs/>
          <w:color w:val="000000" w:themeColor="text1"/>
          <w:lang w:val="nl-NL"/>
        </w:rPr>
        <w:t xml:space="preserve"> </w:t>
      </w:r>
      <w:r>
        <w:rPr>
          <w:lang w:val="vi-VN"/>
        </w:rPr>
        <w:t xml:space="preserve">ước tính</w:t>
      </w:r>
      <w:r>
        <w:t xml:space="preserve"> </w:t>
      </w:r>
      <w:r>
        <w:rPr>
          <w:lang w:val="vi-VN"/>
        </w:rPr>
        <w:t xml:space="preserve">như sau:</w:t>
      </w:r>
      <w:r>
        <w:rPr>
          <w:lang w:val="vi-VN"/>
        </w:rPr>
      </w:r>
      <w:r>
        <w:rPr>
          <w:lang w:val="vi-VN"/>
        </w:rPr>
      </w:r>
    </w:p>
    <w:tbl>
      <w:tblPr>
        <w:tblInd w:w="113"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04"/>
        <w:gridCol w:w="2693"/>
        <w:gridCol w:w="1843"/>
        <w:gridCol w:w="1701"/>
        <w:gridCol w:w="2439"/>
      </w:tblGrid>
      <w:tr>
        <w:trPr>
          <w:trHeight w:val="20"/>
        </w:trPr>
        <w:tc>
          <w:tcPr>
            <w:shd w:val="clear" w:color="000000" w:fill="ffffff"/>
            <w:tcBorders/>
            <w:tcW w:w="704" w:type="dxa"/>
            <w:vAlign w:val="center"/>
            <w:textDirection w:val="lrTb"/>
            <w:noWrap w:val="false"/>
          </w:tcPr>
          <w:p>
            <w:pPr>
              <w:pBdr/>
              <w:spacing w:after="40" w:before="40" w:line="276" w:lineRule="auto"/>
              <w:ind/>
              <w:jc w:val="center"/>
              <w:rPr>
                <w:b/>
                <w:bCs/>
              </w:rPr>
            </w:pPr>
            <w:r>
              <w:rPr>
                <w:b/>
                <w:bCs/>
              </w:rPr>
              <w:t xml:space="preserve">TT</w:t>
            </w:r>
            <w:r>
              <w:rPr>
                <w:b/>
                <w:bCs/>
              </w:rPr>
            </w:r>
            <w:r>
              <w:rPr>
                <w:b/>
                <w:bCs/>
              </w:rPr>
            </w:r>
          </w:p>
        </w:tc>
        <w:tc>
          <w:tcPr>
            <w:shd w:val="clear" w:color="000000" w:fill="ffffff"/>
            <w:tcBorders/>
            <w:tcW w:w="2693" w:type="dxa"/>
            <w:vAlign w:val="center"/>
            <w:textDirection w:val="lrTb"/>
            <w:noWrap w:val="false"/>
          </w:tcPr>
          <w:p>
            <w:pPr>
              <w:pBdr/>
              <w:spacing w:after="40" w:before="40" w:line="276"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43" w:type="dxa"/>
            <w:vAlign w:val="center"/>
            <w:textDirection w:val="lrTb"/>
            <w:noWrap w:val="false"/>
          </w:tcPr>
          <w:p>
            <w:pPr>
              <w:pBdr/>
              <w:spacing w:after="40" w:before="40" w:line="276"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701" w:type="dxa"/>
            <w:vAlign w:val="center"/>
            <w:textDirection w:val="lrTb"/>
            <w:noWrap w:val="false"/>
          </w:tcPr>
          <w:p>
            <w:pPr>
              <w:pBdr/>
              <w:spacing w:after="40" w:before="40" w:line="276"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439" w:type="dxa"/>
            <w:vAlign w:val="center"/>
            <w:textDirection w:val="lrTb"/>
            <w:noWrap w:val="false"/>
          </w:tcPr>
          <w:p>
            <w:pPr>
              <w:pBdr/>
              <w:spacing w:after="40" w:before="40" w:line="276"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704" w:type="dxa"/>
            <w:vAlign w:val="center"/>
            <w:textDirection w:val="lrTb"/>
            <w:noWrap w:val="false"/>
          </w:tcPr>
          <w:p>
            <w:pPr>
              <w:pBdr/>
              <w:spacing w:after="40" w:before="40" w:line="276" w:lineRule="auto"/>
              <w:ind/>
              <w:jc w:val="center"/>
              <w:rPr>
                <w:b/>
                <w:bCs/>
              </w:rPr>
            </w:pPr>
            <w:r>
              <w:rPr>
                <w:b/>
                <w:bCs/>
              </w:rPr>
              <w:t xml:space="preserve">01</w:t>
            </w:r>
            <w:r>
              <w:rPr>
                <w:b/>
                <w:bCs/>
              </w:rPr>
            </w:r>
            <w:r>
              <w:rPr>
                <w:b/>
                <w:bCs/>
              </w:rPr>
            </w:r>
          </w:p>
        </w:tc>
        <w:tc>
          <w:tcPr>
            <w:gridSpan w:val="3"/>
            <w:shd w:val="clear" w:color="000000" w:fill="ffffff"/>
            <w:tcBorders/>
            <w:tcW w:w="6237" w:type="dxa"/>
            <w:vAlign w:val="center"/>
            <w:textDirection w:val="lrTb"/>
            <w:noWrap w:val="false"/>
          </w:tcPr>
          <w:p>
            <w:pPr>
              <w:pBdr/>
              <w:spacing w:after="40" w:before="40" w:line="276" w:lineRule="auto"/>
              <w:ind/>
              <w:jc w:val="both"/>
              <w:rPr>
                <w:b/>
                <w:bCs/>
              </w:rPr>
            </w:pPr>
            <w:r>
              <w:rPr>
                <w:b/>
                <w:bCs/>
              </w:rPr>
            </w:r>
            <w:r>
              <w:rPr>
                <w:rFonts w:ascii="Times New Roman" w:hAnsi="Times New Roman" w:eastAsia="Times New Roman" w:cs="Times New Roman"/>
                <w:b/>
                <w:color w:val="000000"/>
                <w:sz w:val="24"/>
              </w:rPr>
              <w:t xml:space="preserve">Quyền sử dụng đất tại thửa đất số: 204, tờ bản đồ số: 38, có địa chỉ: Thôn Hòa Lạc, xã Bình Yên, huyện Thạch Thất, thành phố Hà Nội (nay là thôn Hòa Lạc, xã Hòa Lạc, thành phố Hà Nội) theo Giấy chứng nhận quyền sử dụng đất, quyền sở hữu nhà ở và tài sản kh</w:t>
            </w:r>
            <w:r>
              <w:rPr>
                <w:rFonts w:ascii="Times New Roman" w:hAnsi="Times New Roman" w:eastAsia="Times New Roman" w:cs="Times New Roman"/>
                <w:b/>
                <w:color w:val="000000"/>
                <w:sz w:val="24"/>
              </w:rPr>
              <w:t xml:space="preserve">ác gắn liền với đất số: DL 206763, Số vào sổ cấp GCN: CN 00137 do Chi nhánh Văn phòng Đăng ký Đất đai Hà Nội - Huyện Thạch Thất cấp ngày 15/7/2023; chủ sử dụng đất là Ông Giang Văn Thăng và Bà Lê Thị Hà.</w:t>
            </w:r>
            <w:r>
              <w:rPr>
                <w:b/>
                <w:bCs/>
              </w:rPr>
            </w:r>
            <w:r>
              <w:rPr>
                <w:b/>
                <w:bCs/>
              </w:rPr>
            </w:r>
          </w:p>
        </w:tc>
        <w:tc>
          <w:tcPr>
            <w:shd w:val="clear" w:color="000000" w:fill="ffffff"/>
            <w:tcBorders/>
            <w:tcW w:w="2439" w:type="dxa"/>
            <w:vAlign w:val="center"/>
            <w:textDirection w:val="lrTb"/>
            <w:noWrap w:val="false"/>
          </w:tcPr>
          <w:p>
            <w:pPr>
              <w:pBdr/>
              <w:spacing w:after="40" w:before="40" w:line="276" w:lineRule="auto"/>
              <w:ind/>
              <w:jc w:val="right"/>
              <w:rPr>
                <w:b/>
                <w:bCs/>
              </w:rPr>
            </w:pPr>
            <w:r>
              <w:rPr>
                <w:b/>
                <w:bCs/>
              </w:rPr>
            </w:r>
            <w:r>
              <w:rPr>
                <w:b/>
                <w:bCs/>
              </w:rPr>
            </w:r>
            <w:r>
              <w:rPr>
                <w:b/>
                <w:bCs/>
              </w:rPr>
            </w:r>
          </w:p>
        </w:tc>
      </w:tr>
      <w:tr>
        <w:trPr>
          <w:trHeight w:val="20"/>
        </w:trPr>
        <w:tc>
          <w:tcPr>
            <w:shd w:val="clear" w:color="000000" w:fill="ffffff"/>
            <w:tcBorders/>
            <w:tcW w:w="704" w:type="dxa"/>
            <w:vAlign w:val="center"/>
            <w:textDirection w:val="lrTb"/>
            <w:noWrap w:val="false"/>
          </w:tcPr>
          <w:p>
            <w:pPr>
              <w:pBdr/>
              <w:spacing w:after="40" w:before="40" w:line="276" w:lineRule="auto"/>
              <w:ind/>
              <w:jc w:val="center"/>
              <w:rPr/>
            </w:pPr>
            <w:r>
              <w:t xml:space="preserve">-</w:t>
            </w:r>
            <w:r/>
          </w:p>
        </w:tc>
        <w:tc>
          <w:tcPr>
            <w:shd w:val="clear" w:color="000000" w:fill="ffffff"/>
            <w:tcBorders/>
            <w:tcW w:w="2693" w:type="dxa"/>
            <w:vAlign w:val="center"/>
            <w:textDirection w:val="lrTb"/>
            <w:noWrap w:val="false"/>
          </w:tcPr>
          <w:p>
            <w:pPr>
              <w:pBdr/>
              <w:spacing w:after="40" w:before="40" w:line="276" w:lineRule="auto"/>
              <w:ind/>
              <w:rPr>
                <w:color w:val="000000"/>
              </w:rPr>
            </w:pPr>
            <w:r>
              <w:rPr>
                <w:color w:val="000000"/>
              </w:rPr>
            </w:r>
            <w:r>
              <w:rPr>
                <w:rFonts w:ascii="Times New Roman" w:hAnsi="Times New Roman" w:eastAsia="Times New Roman" w:cs="Times New Roman"/>
                <w:color w:val="000000"/>
                <w:sz w:val="24"/>
              </w:rPr>
              <w:t xml:space="preserve">Đất ở nông thôn (60m2), đất trồng cây lâu năm (128,3m2)</w:t>
            </w:r>
            <w:r>
              <w:rPr>
                <w:color w:val="000000"/>
              </w:rPr>
            </w:r>
            <w:r>
              <w:rPr>
                <w:color w:val="000000"/>
              </w:rPr>
            </w:r>
          </w:p>
        </w:tc>
        <w:tc>
          <w:tcPr>
            <w:shd w:val="clear" w:color="auto" w:fill="auto"/>
            <w:tcBorders/>
            <w:tcW w:w="1843"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188,3</w:t>
            </w:r>
            <w:r/>
          </w:p>
        </w:tc>
        <w:tc>
          <w:tcPr>
            <w:shd w:val="clear" w:color="000000" w:fill="ffffff"/>
            <w:tcBorders/>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24.500.00</w:t>
            </w:r>
            <w:r/>
          </w:p>
        </w:tc>
        <w:tc>
          <w:tcPr>
            <w:shd w:val="clear" w:color="000000" w:fill="ffffff"/>
            <w:tcBorders/>
            <w:tcW w:w="24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right"/>
              <w:rPr/>
            </w:pPr>
            <w:r>
              <w:rPr>
                <w:rFonts w:ascii="Times New Roman" w:hAnsi="Times New Roman" w:eastAsia="Times New Roman" w:cs="Times New Roman"/>
                <w:color w:val="000000"/>
                <w:sz w:val="24"/>
              </w:rPr>
              <w:t xml:space="preserve">4.613.350.000</w:t>
            </w:r>
            <w:r/>
          </w:p>
        </w:tc>
      </w:tr>
      <w:tr>
        <w:trPr>
          <w:trHeight w:val="20"/>
        </w:trPr>
        <w:tc>
          <w:tcPr>
            <w:shd w:val="clear" w:color="000000" w:fill="ffffff"/>
            <w:tcBorders/>
            <w:tcW w:w="704" w:type="dxa"/>
            <w:vAlign w:val="center"/>
            <w:textDirection w:val="lrTb"/>
            <w:noWrap w:val="false"/>
          </w:tcPr>
          <w:p>
            <w:pPr>
              <w:pBdr/>
              <w:spacing w:after="40" w:before="40" w:line="276" w:lineRule="auto"/>
              <w:ind/>
              <w:jc w:val="center"/>
              <w:rPr>
                <w:b/>
                <w:bCs/>
              </w:rPr>
            </w:pPr>
            <w:r>
              <w:rPr>
                <w:b/>
                <w:bCs/>
              </w:rPr>
              <w:t xml:space="preserve">02</w:t>
            </w:r>
            <w:r>
              <w:rPr>
                <w:b/>
                <w:bCs/>
              </w:rPr>
            </w:r>
            <w:r>
              <w:rPr>
                <w:b/>
                <w:bCs/>
              </w:rPr>
            </w:r>
          </w:p>
        </w:tc>
        <w:tc>
          <w:tcPr>
            <w:gridSpan w:val="3"/>
            <w:shd w:val="clear" w:color="000000" w:fill="ffffff"/>
            <w:tcBorders/>
            <w:tcW w:w="6237" w:type="dxa"/>
            <w:vAlign w:val="center"/>
            <w:textDirection w:val="lrTb"/>
            <w:noWrap w:val="false"/>
          </w:tcPr>
          <w:p>
            <w:pPr>
              <w:pBdr/>
              <w:spacing w:after="40" w:before="40" w:line="276" w:lineRule="auto"/>
              <w:ind/>
              <w:jc w:val="both"/>
              <w:rPr>
                <w:b/>
                <w:bCs/>
              </w:rPr>
            </w:pPr>
            <w:r>
              <w:rPr>
                <w:b/>
                <w:bCs/>
              </w:rPr>
            </w:r>
            <w:r>
              <w:rPr>
                <w:rFonts w:ascii="Times New Roman" w:hAnsi="Times New Roman" w:eastAsia="Times New Roman" w:cs="Times New Roman"/>
                <w:b/>
                <w:color w:val="000000"/>
                <w:sz w:val="24"/>
              </w:rPr>
              <w:t xml:space="preserve">Quyền sử dụng đất tại thửa đất số: 205, tờ bản đồ số: 38, có địa chỉ: Thôn Hòa Lạc, xã Bình Yên, huyện Thạch Thất, thành phố Hà Nội (nay là thôn Hòa Lạc, xã Hòa Lạc, thành phố Hà Nội) theo Giấy chứng nhận quyền sử dụng đất, quyền sở hữu nhà ở và tài sản kh</w:t>
            </w:r>
            <w:r>
              <w:rPr>
                <w:rFonts w:ascii="Times New Roman" w:hAnsi="Times New Roman" w:eastAsia="Times New Roman" w:cs="Times New Roman"/>
                <w:b/>
                <w:color w:val="000000"/>
                <w:sz w:val="24"/>
              </w:rPr>
              <w:t xml:space="preserve">ác gắn liền với đất số: DL 206764, Số vào sổ cấp GCN: CN 00138 do Chi nhánh Văn phòng Đăng ký Đất đai Hà Nội - Huyện Thạch Thất cấp ngày 15/7/2023; chủ sử dụng đất là Ông Giang Văn Thăng và Bà Lê Thị Hà. </w:t>
              <w:tab/>
              <w:tab/>
            </w:r>
            <w:r>
              <w:rPr>
                <w:b/>
                <w:bCs/>
              </w:rPr>
            </w:r>
            <w:r>
              <w:rPr>
                <w:b/>
                <w:bCs/>
              </w:rPr>
            </w:r>
          </w:p>
        </w:tc>
        <w:tc>
          <w:tcPr>
            <w:shd w:val="clear" w:color="000000" w:fill="ffffff"/>
            <w:tcBorders/>
            <w:tcW w:w="2439" w:type="dxa"/>
            <w:vAlign w:val="center"/>
            <w:textDirection w:val="lrTb"/>
            <w:noWrap w:val="false"/>
          </w:tcPr>
          <w:p>
            <w:pPr>
              <w:pBdr/>
              <w:spacing w:after="40" w:before="40" w:line="276" w:lineRule="auto"/>
              <w:ind/>
              <w:jc w:val="right"/>
              <w:rPr>
                <w:b/>
                <w:bCs/>
              </w:rPr>
            </w:pPr>
            <w:r>
              <w:rPr>
                <w:b/>
                <w:bCs/>
              </w:rPr>
            </w:r>
            <w:r>
              <w:rPr>
                <w:b/>
                <w:bCs/>
              </w:rPr>
            </w:r>
            <w:r>
              <w:rPr>
                <w:b/>
                <w:bCs/>
              </w:rPr>
            </w:r>
          </w:p>
        </w:tc>
      </w:tr>
      <w:tr>
        <w:trPr>
          <w:trHeight w:val="20"/>
        </w:trPr>
        <w:tc>
          <w:tcPr>
            <w:shd w:val="clear" w:color="000000" w:fill="ffffff"/>
            <w:tcBorders/>
            <w:tcW w:w="704" w:type="dxa"/>
            <w:vAlign w:val="center"/>
            <w:textDirection w:val="lrTb"/>
            <w:noWrap w:val="false"/>
          </w:tcPr>
          <w:p>
            <w:pPr>
              <w:pBdr/>
              <w:spacing w:after="40" w:before="40" w:line="276" w:lineRule="auto"/>
              <w:ind/>
              <w:jc w:val="center"/>
              <w:rPr/>
            </w:pPr>
            <w:r>
              <w:t xml:space="preserve">-</w:t>
            </w:r>
            <w:r/>
          </w:p>
        </w:tc>
        <w:tc>
          <w:tcPr>
            <w:shd w:val="clear" w:color="000000" w:fill="ffffff"/>
            <w:tcBorders/>
            <w:tcW w:w="2693" w:type="dxa"/>
            <w:vAlign w:val="center"/>
            <w:textDirection w:val="lrTb"/>
            <w:noWrap w:val="false"/>
          </w:tcPr>
          <w:p>
            <w:pPr>
              <w:pBdr/>
              <w:spacing w:after="40" w:before="40" w:line="276" w:lineRule="auto"/>
              <w:ind/>
              <w:rPr>
                <w:color w:val="000000"/>
              </w:rPr>
            </w:pPr>
            <w:r>
              <w:rPr>
                <w:color w:val="000000"/>
              </w:rPr>
            </w:r>
            <w:r>
              <w:rPr>
                <w:rFonts w:ascii="Times New Roman" w:hAnsi="Times New Roman" w:eastAsia="Times New Roman" w:cs="Times New Roman"/>
                <w:color w:val="000000"/>
                <w:sz w:val="24"/>
              </w:rPr>
              <w:t xml:space="preserve">Đất ở nông thôn (60m2), Đất trồng cây lâu năm (126m2)</w:t>
            </w:r>
            <w:r>
              <w:rPr>
                <w:color w:val="000000"/>
              </w:rPr>
            </w:r>
            <w:r>
              <w:rPr>
                <w:color w:val="000000"/>
              </w:rPr>
            </w:r>
          </w:p>
        </w:tc>
        <w:tc>
          <w:tcPr>
            <w:shd w:val="clear" w:color="auto" w:fill="auto"/>
            <w:tcBorders/>
            <w:tcW w:w="1843" w:type="dxa"/>
            <w:vAlign w:val="center"/>
            <w:textDirection w:val="lrTb"/>
            <w:noWrap/>
          </w:tcPr>
          <w:p>
            <w:pPr>
              <w:pBdr/>
              <w:spacing w:after="40" w:before="40" w:line="276" w:lineRule="auto"/>
              <w:ind/>
              <w:jc w:val="center"/>
              <w:rPr>
                <w:color w:val="000000"/>
              </w:rPr>
            </w:pPr>
            <w:r>
              <w:rPr>
                <w:color w:val="000000"/>
              </w:rPr>
            </w:r>
            <w:r>
              <w:rPr>
                <w:rFonts w:ascii="Times New Roman" w:hAnsi="Times New Roman" w:eastAsia="Times New Roman" w:cs="Times New Roman"/>
                <w:color w:val="000000"/>
                <w:sz w:val="24"/>
              </w:rPr>
              <w:t xml:space="preserve">186</w:t>
            </w:r>
            <w:r>
              <w:rPr>
                <w:color w:val="000000"/>
              </w:rPr>
            </w:r>
            <w:r>
              <w:rPr>
                <w:color w:val="000000"/>
              </w:rPr>
            </w:r>
          </w:p>
        </w:tc>
        <w:tc>
          <w:tcPr>
            <w:shd w:val="clear" w:color="000000" w:fill="ffffff"/>
            <w:tcBorders/>
            <w:tcW w:w="1701" w:type="dxa"/>
            <w:vAlign w:val="center"/>
            <w:textDirection w:val="lrTb"/>
            <w:noWrap w:val="false"/>
          </w:tcPr>
          <w:p>
            <w:pPr>
              <w:pBdr/>
              <w:spacing w:after="40" w:before="40" w:line="276" w:lineRule="auto"/>
              <w:ind/>
              <w:jc w:val="center"/>
              <w:rPr/>
            </w:pPr>
            <w:r>
              <w:rPr>
                <w:color w:val="000000"/>
              </w:rPr>
            </w:r>
            <w:r>
              <w:rPr>
                <w:rFonts w:ascii="Times New Roman" w:hAnsi="Times New Roman" w:eastAsia="Times New Roman" w:cs="Times New Roman"/>
                <w:color w:val="000000"/>
                <w:sz w:val="24"/>
              </w:rPr>
              <w:t xml:space="preserve">24.500.000</w:t>
            </w:r>
            <w:r>
              <w:rPr>
                <w:color w:val="000000"/>
              </w:rPr>
            </w:r>
            <w:r/>
          </w:p>
        </w:tc>
        <w:tc>
          <w:tcPr>
            <w:shd w:val="clear" w:color="000000" w:fill="ffffff"/>
            <w:tcBorders/>
            <w:tcW w:w="24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right"/>
              <w:rPr/>
            </w:pPr>
            <w:r>
              <w:rPr>
                <w:rFonts w:ascii="Times New Roman" w:hAnsi="Times New Roman" w:eastAsia="Times New Roman" w:cs="Times New Roman"/>
                <w:color w:val="000000"/>
                <w:sz w:val="24"/>
              </w:rPr>
              <w:t xml:space="preserve">4.557.000.000</w:t>
            </w:r>
            <w:r/>
          </w:p>
        </w:tc>
      </w:tr>
      <w:tr>
        <w:trPr>
          <w:trHeight w:val="20"/>
        </w:trPr>
        <w:tc>
          <w:tcPr>
            <w:gridSpan w:val="4"/>
            <w:shd w:val="clear" w:color="auto" w:fill="auto"/>
            <w:tcBorders/>
            <w:tcW w:w="6941" w:type="dxa"/>
            <w:vAlign w:val="center"/>
            <w:textDirection w:val="lrTb"/>
            <w:noWrap/>
          </w:tcPr>
          <w:p>
            <w:pPr>
              <w:pBdr/>
              <w:spacing w:after="40" w:before="40" w:line="276" w:lineRule="auto"/>
              <w:ind/>
              <w:jc w:val="center"/>
              <w:rPr>
                <w:b/>
                <w:bCs/>
                <w:color w:val="000000"/>
              </w:rPr>
            </w:pPr>
            <w:r>
              <w:rPr>
                <w:b/>
                <w:bCs/>
                <w:color w:val="000000"/>
              </w:rPr>
              <w:t xml:space="preserve">TỔNG CỘNG</w:t>
            </w:r>
            <w:r>
              <w:rPr>
                <w:b/>
                <w:bCs/>
                <w:color w:val="000000"/>
              </w:rPr>
            </w:r>
            <w:r>
              <w:rPr>
                <w:b/>
                <w:bCs/>
                <w:color w:val="000000"/>
              </w:rPr>
            </w:r>
          </w:p>
        </w:tc>
        <w:tc>
          <w:tcPr>
            <w:shd w:val="clear" w:color="auto" w:fill="auto"/>
            <w:tcBorders/>
            <w:tcW w:w="2439" w:type="dxa"/>
            <w:vAlign w:val="center"/>
            <w:textDirection w:val="lrTb"/>
            <w:noWrap/>
          </w:tcPr>
          <w:p>
            <w:pPr>
              <w:pBdr/>
              <w:spacing w:after="40" w:before="40" w:line="276" w:lineRule="auto"/>
              <w:ind/>
              <w:jc w:val="right"/>
              <w:rPr>
                <w:b/>
                <w:bCs/>
                <w:color w:val="000000"/>
              </w:rPr>
            </w:pPr>
            <w:r>
              <w:rPr>
                <w:b/>
                <w:bCs/>
                <w:color w:val="000000"/>
              </w:rPr>
            </w:r>
            <w:r>
              <w:rPr>
                <w:rFonts w:ascii="Times New Roman" w:hAnsi="Times New Roman" w:eastAsia="Times New Roman" w:cs="Times New Roman"/>
                <w:b/>
                <w:color w:val="000000"/>
                <w:sz w:val="24"/>
              </w:rPr>
              <w:t xml:space="preserve">9.170.350.000</w:t>
            </w:r>
            <w:r>
              <w:rPr>
                <w:b/>
                <w:bCs/>
                <w:color w:val="000000"/>
              </w:rPr>
            </w:r>
            <w:r>
              <w:rPr>
                <w:b/>
                <w:bCs/>
                <w:color w:val="000000"/>
              </w:rPr>
            </w:r>
          </w:p>
        </w:tc>
      </w:tr>
      <w:tr>
        <w:trPr>
          <w:trHeight w:val="20"/>
        </w:trPr>
        <w:tc>
          <w:tcPr>
            <w:gridSpan w:val="4"/>
            <w:shd w:val="clear" w:color="auto" w:fill="auto"/>
            <w:tcBorders/>
            <w:tcW w:w="6941" w:type="dxa"/>
            <w:vAlign w:val="center"/>
            <w:textDirection w:val="lrTb"/>
            <w:noWrap/>
          </w:tcPr>
          <w:p>
            <w:pPr>
              <w:pBdr/>
              <w:spacing w:after="40" w:before="40" w:line="276" w:lineRule="auto"/>
              <w:ind/>
              <w:jc w:val="center"/>
              <w:rPr>
                <w:b/>
                <w:bCs/>
                <w:color w:val="000000"/>
              </w:rPr>
            </w:pPr>
            <w:r>
              <w:rPr>
                <w:b/>
                <w:bCs/>
                <w:color w:val="000000"/>
              </w:rPr>
              <w:t xml:space="preserve">LÀM TRÒN</w:t>
            </w:r>
            <w:r>
              <w:rPr>
                <w:b/>
                <w:bCs/>
                <w:color w:val="000000"/>
              </w:rPr>
            </w:r>
            <w:r>
              <w:rPr>
                <w:b/>
                <w:bCs/>
                <w:color w:val="000000"/>
              </w:rPr>
            </w:r>
          </w:p>
        </w:tc>
        <w:tc>
          <w:tcPr>
            <w:shd w:val="clear" w:color="auto" w:fill="auto"/>
            <w:tcBorders/>
            <w:tcW w:w="2439" w:type="dxa"/>
            <w:vAlign w:val="center"/>
            <w:textDirection w:val="lrTb"/>
            <w:noWrap/>
          </w:tcPr>
          <w:p>
            <w:pPr>
              <w:pBdr/>
              <w:spacing w:after="40" w:before="40" w:line="276" w:lineRule="auto"/>
              <w:ind/>
              <w:jc w:val="right"/>
              <w:rPr>
                <w:b/>
                <w:bCs/>
                <w:color w:val="000000"/>
              </w:rPr>
            </w:pPr>
            <w:r>
              <w:rPr>
                <w:b/>
                <w:bCs/>
                <w:color w:val="000000"/>
              </w:rPr>
            </w:r>
            <w:r>
              <w:rPr>
                <w:rFonts w:ascii="Times New Roman" w:hAnsi="Times New Roman" w:eastAsia="Times New Roman" w:cs="Times New Roman"/>
                <w:b/>
                <w:color w:val="000000"/>
                <w:sz w:val="24"/>
              </w:rPr>
              <w:t xml:space="preserve">9.170.400.000</w:t>
            </w:r>
            <w:r>
              <w:rPr>
                <w:b/>
                <w:bCs/>
                <w:color w:val="000000"/>
              </w:rPr>
            </w:r>
            <w:r>
              <w:rPr>
                <w:b/>
                <w:bCs/>
                <w:color w:val="000000"/>
              </w:rPr>
            </w:r>
          </w:p>
        </w:tc>
      </w:tr>
      <w:tr>
        <w:trPr>
          <w:trHeight w:val="20"/>
        </w:trPr>
        <w:tc>
          <w:tcPr>
            <w:gridSpan w:val="5"/>
            <w:shd w:val="clear" w:color="auto" w:fill="auto"/>
            <w:tcBorders/>
            <w:tcW w:w="9380" w:type="dxa"/>
            <w:vAlign w:val="center"/>
            <w:textDirection w:val="lrTb"/>
            <w:noWrap w:val="false"/>
          </w:tcPr>
          <w:p>
            <w:pPr>
              <w:pBdr/>
              <w:spacing w:after="40" w:before="40" w:line="276"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w:t>
            </w:r>
            <w:r>
              <w:rPr>
                <w:b/>
                <w:bCs/>
                <w:color w:val="000000"/>
              </w:rPr>
              <w:t xml:space="preserve"> </w:t>
            </w:r>
            <w:r>
              <w:rPr>
                <w:rFonts w:ascii="Times New Roman" w:hAnsi="Times New Roman" w:eastAsia="Times New Roman" w:cs="Times New Roman"/>
                <w:b/>
                <w:i/>
                <w:color w:val="000000"/>
                <w:sz w:val="24"/>
              </w:rPr>
              <w:t xml:space="preserve">Chín tỷ một trăm bảy mươi triệu bốn trăm nghìn đồng</w:t>
            </w:r>
            <w:r>
              <w:rPr>
                <w:b/>
                <w:bCs/>
                <w:i/>
                <w:iCs/>
                <w:color w:val="000000"/>
              </w:rPr>
              <w:t xml:space="preserve">./.)</w:t>
            </w:r>
            <w:r>
              <w:rPr>
                <w:b/>
                <w:bCs/>
                <w:i/>
                <w:iCs/>
                <w:color w:val="000000"/>
              </w:rPr>
            </w:r>
            <w:r>
              <w:rPr>
                <w:b/>
                <w:bCs/>
                <w:i/>
                <w:iCs/>
                <w:color w:val="000000"/>
              </w:rPr>
            </w:r>
          </w:p>
        </w:tc>
      </w:tr>
    </w:tbl>
    <w:p>
      <w:pPr>
        <w:pBdr/>
        <w:spacing w:after="120" w:before="120" w:line="288"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288"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288" w:lineRule="auto"/>
        <w:ind/>
        <w:rPr/>
      </w:pPr>
      <w:r>
        <w:rPr>
          <w:b/>
          <w:bCs/>
          <w:lang w:val="vi-VN"/>
        </w:rPr>
        <w:t xml:space="preserve">11. Những điều khoản loại trừ và hạn chế của kết quả thẩm định giá:</w:t>
      </w:r>
      <w:r/>
    </w:p>
    <w:p>
      <w:pPr>
        <w:pBdr/>
        <w:spacing w:after="120" w:before="120" w:line="288" w:lineRule="auto"/>
        <w:ind w:firstLine="360"/>
        <w:jc w:val="both"/>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lang w:val="pt-BR"/>
        </w:rPr>
      </w:r>
      <w:r>
        <w:rPr>
          <w:lang w:val="pt-BR"/>
        </w:rPr>
      </w:r>
    </w:p>
    <w:p>
      <w:pPr>
        <w:pBdr/>
        <w:spacing w:after="200" w:line="276" w:lineRule="auto"/>
        <w:ind/>
        <w:rPr>
          <w:rFonts w:eastAsia="Calibri"/>
          <w:b/>
          <w:spacing w:val="-4"/>
        </w:rPr>
      </w:pPr>
      <w:r>
        <w:rPr>
          <w:rFonts w:eastAsia="Calibri"/>
          <w:b/>
          <w:spacing w:val="-4"/>
          <w:lang w:val="pt-BR"/>
        </w:rPr>
        <w:t xml:space="preserve">12</w:t>
      </w:r>
      <w:r>
        <w:rPr>
          <w:rFonts w:eastAsia="Calibri"/>
          <w:b/>
          <w:spacing w:val="-4"/>
          <w:lang w:val="vi-VN"/>
        </w:rPr>
        <w:t xml:space="preserve">. Các tài liệu kèm theo:</w:t>
      </w:r>
      <w:r>
        <w:rPr>
          <w:rFonts w:eastAsia="Calibri"/>
          <w:b/>
          <w:spacing w:val="-4"/>
        </w:rPr>
      </w:r>
      <w:r>
        <w:rPr>
          <w:rFonts w:eastAsia="Calibri"/>
          <w:b/>
          <w:spacing w:val="-4"/>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r>
      <w:r>
        <w:rPr>
          <w:spacing w:val="-6"/>
          <w:lang w:val="vi-VN"/>
        </w:rPr>
      </w:r>
      <w:r>
        <w:rPr>
          <w:spacing w:val="-6"/>
          <w:lang w:val="vi-VN"/>
        </w:rPr>
      </w:r>
    </w:p>
    <w:tbl>
      <w:tblPr>
        <w:tblW w:w="4806" w:type="pct"/>
        <w:tblBorders/>
        <w:tblLook w:val="01E0" w:firstRow="1" w:lastRow="1" w:firstColumn="1" w:lastColumn="1" w:noHBand="0" w:noVBand="0"/>
      </w:tblPr>
      <w:tblGrid>
        <w:gridCol w:w="4457"/>
        <w:gridCol w:w="4906"/>
      </w:tblGrid>
      <w:tr>
        <w:trPr>
          <w:trHeight w:val="20"/>
        </w:trPr>
        <w:tc>
          <w:tcPr>
            <w:tcBorders/>
            <w:tcW w:w="2380"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620" w:type="pct"/>
            <w:vAlign w:val="bottom"/>
            <w:textDirection w:val="lrTb"/>
            <w:noWrap w:val="false"/>
          </w:tcPr>
          <w:p>
            <w:pPr>
              <w:pBdr/>
              <w:spacing w:line="276" w:lineRule="auto"/>
              <w:ind/>
              <w:jc w:val="center"/>
              <w:rPr>
                <w:rFonts w:eastAsia="Calibri"/>
                <w:b/>
                <w:lang w:val="pt-BR"/>
              </w:rPr>
            </w:pPr>
            <w:r>
              <w:rPr>
                <w:rFonts w:eastAsia="Calibri"/>
                <w:b/>
                <w:color w:val="000000" w:themeColor="text1"/>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380"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620"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380" w:type="pct"/>
            <w:vAlign w:val="center"/>
            <w:textDirection w:val="lrTb"/>
            <w:noWrap w:val="false"/>
          </w:tcPr>
          <w:p>
            <w:pPr>
              <w:pBdr/>
              <w:spacing w:line="276" w:lineRule="auto"/>
              <w:ind/>
              <w:jc w:val="center"/>
              <w:rPr>
                <w:rFonts w:eastAsia="Calibri"/>
                <w:b/>
                <w:bCs/>
                <w:color w:val="000000" w:themeColor="text1"/>
                <w:lang w:val="pt-BR"/>
              </w:rPr>
            </w:pPr>
            <w:r>
              <w:rPr>
                <w:rFonts w:eastAsia="Calibri"/>
                <w:b/>
                <w:bCs/>
                <w:color w:val="000000" w:themeColor="text1"/>
                <w:lang w:val="pt-BR"/>
              </w:rPr>
              <w:t xml:space="preserve">Nguyễn Thị Thùy Dương</w:t>
            </w:r>
            <w:r>
              <w:rPr>
                <w:rFonts w:eastAsia="Calibri"/>
                <w:b/>
                <w:bCs/>
                <w:color w:val="000000" w:themeColor="text1"/>
                <w:lang w:val="pt-BR"/>
              </w:rPr>
            </w:r>
            <w:r>
              <w:rPr>
                <w:rFonts w:eastAsia="Calibri"/>
                <w:b/>
                <w:bCs/>
                <w:color w:val="000000" w:themeColor="text1"/>
                <w:lang w:val="pt-BR"/>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w:t>
            </w:r>
            <w:r>
              <w:rPr>
                <w:rFonts w:eastAsia="Calibri"/>
                <w:color w:val="000000" w:themeColor="text1"/>
                <w:lang w:val="pt-BR"/>
              </w:rPr>
              <w:t xml:space="preserve">XVI25TS.2576</w:t>
            </w:r>
            <w:r>
              <w:rPr>
                <w:rFonts w:eastAsia="Calibri"/>
                <w:b/>
                <w:lang w:val="pt-BR"/>
              </w:rPr>
            </w:r>
            <w:r>
              <w:rPr>
                <w:rFonts w:eastAsia="Calibri"/>
                <w:b/>
                <w:lang w:val="pt-BR"/>
              </w:rPr>
            </w:r>
          </w:p>
        </w:tc>
        <w:tc>
          <w:tcPr>
            <w:tcBorders/>
            <w:tcW w:w="2620"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42462034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22"/>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Bdr/>
              <w:tabs>
                <w:tab w:val="left" w:leader="none" w:pos="3382"/>
              </w:tabs>
              <w:spacing w:after="60" w:before="60" w:line="276" w:lineRule="auto"/>
              <w:ind/>
              <w:rPr>
                <w:color w:val="000000" w:themeColor="text1"/>
                <w:sz w:val="24"/>
                <w:szCs w:val="24"/>
              </w:rPr>
            </w:pPr>
            <w:r>
              <w:rPr>
                <w:rStyle w:val="1030"/>
                <w:rFonts w:ascii="Times New Roman" w:hAnsi="Times New Roman"/>
                <w:color w:val="000000" w:themeColor="text1"/>
                <w:lang w:val="pt-BR"/>
              </w:rPr>
              <w:t xml:space="preserve">Số</w:t>
            </w:r>
            <w:r>
              <w:rPr>
                <w:rStyle w:val="1030"/>
                <w:rFonts w:ascii="Times New Roman" w:hAnsi="Times New Roman"/>
                <w:color w:val="000000" w:themeColor="text1"/>
                <w:lang w:val="pt-BR"/>
              </w:rPr>
              <w:t xml:space="preserve">:</w:t>
            </w:r>
            <w:r>
              <w:rPr>
                <w:color w:val="000000" w:themeColor="text1"/>
              </w:rPr>
              <w:t xml:space="preserve"> </w:t>
            </w:r>
            <w:r>
              <w:rPr>
                <w:color w:val="000000" w:themeColor="text1"/>
              </w:rPr>
              <w:t xml:space="preserve">275/2026/0143/VFI-BC.63.A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31"/>
              <w:pBdr/>
              <w:spacing w:after="60"/>
              <w:ind w:right="-56"/>
              <w:jc w:val="right"/>
              <w:rPr>
                <w:color w:val="000000" w:themeColor="text1"/>
                <w:sz w:val="24"/>
                <w:szCs w:val="24"/>
                <w:lang w:val="vi-VN"/>
              </w:rPr>
            </w:pPr>
            <w:r>
              <w:rPr>
                <w:rStyle w:val="1030"/>
                <w:rFonts w:ascii="Times New Roman" w:hAnsi="Times New Roman"/>
                <w:i/>
                <w:color w:val="auto"/>
              </w:rPr>
              <w:t xml:space="preserve">TP. </w:t>
            </w:r>
            <w:r>
              <w:rPr>
                <w:rStyle w:val="1030"/>
                <w:rFonts w:ascii="Times New Roman" w:hAnsi="Times New Roman"/>
                <w:i/>
                <w:color w:val="auto"/>
              </w:rPr>
              <w:t xml:space="preserve">Hà</w:t>
            </w:r>
            <w:r>
              <w:rPr>
                <w:rStyle w:val="1030"/>
                <w:rFonts w:ascii="Times New Roman" w:hAnsi="Times New Roman"/>
                <w:i/>
                <w:color w:val="auto"/>
              </w:rPr>
              <w:t xml:space="preserve"> </w:t>
            </w:r>
            <w:r>
              <w:rPr>
                <w:rStyle w:val="1030"/>
                <w:rFonts w:ascii="Times New Roman" w:hAnsi="Times New Roman"/>
                <w:i/>
                <w:color w:val="auto"/>
              </w:rPr>
              <w:t xml:space="preserve">Nội</w:t>
            </w:r>
            <w:r>
              <w:rPr>
                <w:rStyle w:val="1030"/>
                <w:rFonts w:ascii="Times New Roman" w:hAnsi="Times New Roman"/>
                <w:i/>
                <w:color w:val="auto"/>
                <w:lang w:val="vi-VN"/>
              </w:rPr>
              <w:t xml:space="preserve">, </w:t>
            </w:r>
            <w:r>
              <w:rPr>
                <w:rStyle w:val="1030"/>
                <w:rFonts w:ascii="Times New Roman" w:hAnsi="Times New Roman"/>
                <w:i/>
                <w:color w:val="000000" w:themeColor="text1"/>
                <w:lang w:val="vi-VN"/>
              </w:rPr>
              <w:t xml:space="preserve">ngày 20 tháng 1 năm 2026</w:t>
            </w:r>
            <w:r>
              <w:rPr>
                <w:color w:val="000000" w:themeColor="text1"/>
                <w:sz w:val="24"/>
                <w:szCs w:val="24"/>
                <w:lang w:val="vi-VN"/>
              </w:rPr>
            </w:r>
            <w:r>
              <w:rPr>
                <w:color w:val="000000" w:themeColor="text1"/>
                <w:sz w:val="24"/>
                <w:szCs w:val="24"/>
                <w:lang w:val="vi-VN"/>
              </w:rPr>
            </w:r>
          </w:p>
        </w:tc>
      </w:tr>
    </w:tbl>
    <w:p>
      <w:pPr>
        <w:pStyle w:val="1031"/>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1"/>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275/2026/022/VFI-CT.34</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20 tháng 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1"/>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shd w:val="clear" w:color="auto" w:fill="auto"/>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shd w:val="clear" w:color="auto" w:fill="auto"/>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shd w:val="clear" w:color="auto" w:fill="auto"/>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shd w:val="clear" w:color="auto" w:fill="auto"/>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0102708994</w:t>
            </w:r>
            <w:r>
              <w:rPr>
                <w:bCs/>
              </w:rPr>
            </w:r>
            <w:r>
              <w:rPr>
                <w:bCs/>
              </w:rPr>
            </w:r>
          </w:p>
        </w:tc>
      </w:tr>
      <w:tr>
        <w:trPr>
          <w:trHeight w:val="20"/>
        </w:trPr>
        <w:tc>
          <w:tcPr>
            <w:shd w:val="clear" w:color="auto" w:fill="auto"/>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shd w:val="clear" w:color="auto" w:fill="auto"/>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shd w:val="clear" w:color="auto" w:fill="auto"/>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shd w:val="clear" w:color="auto" w:fill="auto"/>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shd w:val="clear" w:color="auto" w:fill="auto"/>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 </w:t>
            </w:r>
            <w:r>
              <w:rPr>
                <w:b/>
                <w:bCs/>
              </w:rPr>
              <w:t xml:space="preserve">Vũ Văn Quân</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2"/>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Style w:val="1032"/>
        <w:numPr>
          <w:ilvl w:val="0"/>
          <w:numId w:val="41"/>
        </w:numPr>
        <w:pBdr/>
        <w:tabs>
          <w:tab w:val="left" w:leader="none" w:pos="284"/>
        </w:tabs>
        <w:spacing w:after="120" w:before="120" w:line="320" w:lineRule="atLeast"/>
        <w:ind/>
        <w:jc w:val="both"/>
        <w:rPr>
          <w:b/>
          <w:bCs/>
          <w:lang w:val="pt-BR"/>
        </w:rPr>
      </w:pP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Tên khách hàng</w:t>
            </w:r>
            <w:r>
              <w:rPr>
                <w:bCs/>
                <w:lang w:val="pt-BR"/>
              </w:rPr>
            </w:r>
            <w:r>
              <w:rPr>
                <w:bCs/>
                <w:lang w:val="pt-BR"/>
              </w:rPr>
            </w:r>
          </w:p>
        </w:tc>
        <w:tc>
          <w:tcPr>
            <w:tcBorders/>
            <w:tcW w:w="284" w:type="dxa"/>
            <w:vAlign w:val="center"/>
            <w:textDirection w:val="lrTb"/>
            <w:noWrap w:val="false"/>
          </w:tcPr>
          <w:p>
            <w:pPr>
              <w:pStyle w:val="1032"/>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r>
            <w:r>
              <w:rPr>
                <w:rFonts w:ascii="Times New Roman" w:hAnsi="Times New Roman" w:eastAsia="Times New Roman" w:cs="Times New Roman"/>
                <w:b/>
                <w:color w:val="000000"/>
                <w:sz w:val="24"/>
              </w:rPr>
              <w:t xml:space="preserve">NGÂN HÀNG NÔNG NGHIỆP VÀ PHÁT TRIỂN NÔNG THÔN VIỆT NAM – CHI NHÁNH THẠCH THẤT</w:t>
            </w:r>
            <w:r>
              <w:rPr>
                <w:b/>
                <w:bCs/>
              </w:rPr>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MST:</w:t>
            </w:r>
            <w:r>
              <w:rPr>
                <w:bCs/>
                <w:lang w:val="pt-BR"/>
              </w:rPr>
            </w:r>
            <w:r>
              <w:rPr>
                <w:bCs/>
                <w:lang w:val="pt-BR"/>
              </w:rPr>
            </w:r>
          </w:p>
        </w:tc>
        <w:tc>
          <w:tcPr>
            <w:tcBorders/>
            <w:tcW w:w="284" w:type="dxa"/>
            <w:vAlign w:val="center"/>
            <w:textDirection w:val="lrTb"/>
            <w:noWrap w:val="false"/>
          </w:tcPr>
          <w:p>
            <w:pPr>
              <w:pStyle w:val="1032"/>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88" w:lineRule="auto"/>
              <w:ind w:right="0" w:firstLine="0" w:left="0"/>
              <w:jc w:val="both"/>
              <w:rPr/>
            </w:pPr>
            <w:r>
              <w:rPr>
                <w:rFonts w:ascii="Times New Roman" w:hAnsi="Times New Roman" w:eastAsia="Times New Roman" w:cs="Times New Roman"/>
                <w:color w:val="000000"/>
                <w:sz w:val="24"/>
              </w:rPr>
              <w:t xml:space="preserve">0100686174-385</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Đại diện – Chức vụ</w:t>
            </w:r>
            <w:r>
              <w:rPr>
                <w:bCs/>
                <w:lang w:val="pt-BR"/>
              </w:rPr>
            </w:r>
            <w:r>
              <w:rPr>
                <w:bCs/>
                <w:lang w:val="pt-BR"/>
              </w:rPr>
            </w:r>
          </w:p>
        </w:tc>
        <w:tc>
          <w:tcPr>
            <w:tcBorders/>
            <w:tcW w:w="284" w:type="dxa"/>
            <w:vAlign w:val="center"/>
            <w:textDirection w:val="lrTb"/>
            <w:noWrap w:val="false"/>
          </w:tcPr>
          <w:p>
            <w:pPr>
              <w:pStyle w:val="1032"/>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b/>
                <w:color w:val="000000"/>
                <w:sz w:val="24"/>
              </w:rPr>
              <w:t xml:space="preserve">Lưu Thu Phương -      Chức vụ: Phó GĐ</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Địa chỉ</w:t>
            </w:r>
            <w:r>
              <w:rPr>
                <w:bCs/>
                <w:lang w:val="pt-BR"/>
              </w:rPr>
            </w:r>
            <w:r>
              <w:rPr>
                <w:bCs/>
                <w:lang w:val="pt-BR"/>
              </w:rPr>
            </w:r>
          </w:p>
        </w:tc>
        <w:tc>
          <w:tcPr>
            <w:tcBorders/>
            <w:tcW w:w="284" w:type="dxa"/>
            <w:vAlign w:val="center"/>
            <w:textDirection w:val="lrTb"/>
            <w:noWrap w:val="false"/>
          </w:tcPr>
          <w:p>
            <w:pPr>
              <w:pStyle w:val="1032"/>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88" w:lineRule="auto"/>
              <w:ind w:right="0" w:firstLine="0" w:left="0"/>
              <w:jc w:val="both"/>
              <w:rPr/>
            </w:pPr>
            <w:r>
              <w:rPr>
                <w:rFonts w:ascii="Times New Roman" w:hAnsi="Times New Roman" w:eastAsia="Times New Roman" w:cs="Times New Roman"/>
                <w:color w:val="000000"/>
                <w:sz w:val="24"/>
              </w:rPr>
              <w:t xml:space="preserve">Đường 419, xã Thạch Thất, thành phố Hà Nội</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2"/>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88" w:lineRule="auto"/>
              <w:ind w:right="0" w:firstLine="0" w:left="0"/>
              <w:jc w:val="both"/>
              <w:rPr/>
            </w:pPr>
            <w:r>
              <w:rPr>
                <w:rFonts w:ascii="Times New Roman" w:hAnsi="Times New Roman" w:eastAsia="Times New Roman" w:cs="Times New Roman"/>
                <w:color w:val="000000"/>
                <w:sz w:val="24"/>
              </w:rPr>
              <w:t xml:space="preserve">Tài sản 1: Quyền sử dụng đất tại thửa đất số: 204, tờ bản đồ số: 38, có địa chỉ: Thôn Hòa Lạc, xã Bình Yên, huyện Thạch Thất, thành phố Hà Nội (nay là thôn Hòa Lạc, xã Hòa Lạc, thành phố Hà Nội) theo Giấy chứng nhận quyền sử dụng đất, quyền sở hữu nhà ở và</w:t>
            </w:r>
            <w:r>
              <w:rPr>
                <w:rFonts w:ascii="Times New Roman" w:hAnsi="Times New Roman" w:eastAsia="Times New Roman" w:cs="Times New Roman"/>
                <w:color w:val="000000"/>
                <w:sz w:val="24"/>
              </w:rPr>
              <w:t xml:space="preserve"> tài sản khác gắn liền với đất số: DL 206763, Số vào sổ cấp GCN: CN 00137 do Chi nhánh Văn phòng Đăng ký Đất đai Hà Nội - Huyện Thạch Thất cấp ngày 15/7/2023; chủ sử dụng đất là Ông Giang Văn Thăng và Bà Lê Thị Hà.</w:t>
            </w:r>
            <w:r/>
          </w:p>
          <w:p>
            <w:pPr>
              <w:pBdr>
                <w:top w:val="none" w:color="000000" w:sz="4" w:space="0"/>
                <w:left w:val="none" w:color="000000" w:sz="4" w:space="0"/>
                <w:bottom w:val="none" w:color="000000" w:sz="4" w:space="0"/>
                <w:right w:val="none" w:color="000000" w:sz="4" w:space="0"/>
              </w:pBdr>
              <w:spacing w:after="120" w:before="120" w:line="288" w:lineRule="auto"/>
              <w:ind w:right="0" w:firstLine="0" w:left="0"/>
              <w:jc w:val="both"/>
              <w:rPr/>
            </w:pPr>
            <w:r>
              <w:rPr>
                <w:rFonts w:ascii="Times New Roman" w:hAnsi="Times New Roman" w:eastAsia="Times New Roman" w:cs="Times New Roman"/>
                <w:color w:val="000000"/>
                <w:sz w:val="24"/>
              </w:rPr>
              <w:t xml:space="preserve">Tài sản 2: Quyền sử dụng đất tại thửa đất số: 205, tờ bản đồ số: 38, có địa chỉ: Thôn Hòa Lạc, xã Bình Yên, huyện Thạch Thất, thành phố Hà Nội (nay là thôn Hòa Lạc, xã Hòa Lạc, thành phố Hà Nội) theo Giấy chứng nhận quyền sử dụng đất, quyền sở hữu nhà ở và</w:t>
            </w:r>
            <w:r>
              <w:rPr>
                <w:rFonts w:ascii="Times New Roman" w:hAnsi="Times New Roman" w:eastAsia="Times New Roman" w:cs="Times New Roman"/>
                <w:color w:val="000000"/>
                <w:sz w:val="24"/>
              </w:rPr>
              <w:t xml:space="preserve"> tài sản khác gắn liền với đất  số: DL 206764, Số vào sổ cấp GCN: CN 00138 do Chi nhánh Văn phòng Đăng ký Đất đai Hà Nội - Huyện Thạch Thất cấp ngày 15/7/2023; chủ sử dụng đất là Ông Giang Văn Thăng và Bà Lê Thị Hà. </w:t>
              <w:tab/>
              <w:tab/>
              <w:tab/>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2"/>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lang w:val="vi-VN"/>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32"/>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2"/>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2"/>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color w:val="000000" w:themeColor="text1"/>
                <w:lang w:val="pt-BR"/>
              </w:rPr>
              <w:t xml:space="preserve">Thôn Hòa Lạc, xã Hòa Lạc, Thành phố Hà Nội.</w:t>
            </w:r>
            <w:r>
              <w:rPr>
                <w:lang w:val="pt-BR"/>
              </w:rPr>
              <w:t xml:space="preserve">.</w:t>
            </w:r>
            <w:r>
              <w:rPr>
                <w:lang w:val="pt-BR"/>
              </w:rPr>
            </w:r>
            <w:r>
              <w:rPr>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32"/>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32"/>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32"/>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32"/>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2"/>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32"/>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32"/>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32"/>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32"/>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32"/>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32"/>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32"/>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32"/>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32"/>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32"/>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2"/>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2"/>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32"/>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32"/>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32"/>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32"/>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2"/>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2"/>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32"/>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32"/>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32"/>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32"/>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32"/>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   Giấy chứng nhận quyền sử dụng đất, quyền sở hữu nhà ở và tài sản khác gắn liền với đất số: DL 206763, Số vào sổ cấp GCN: CN 00137 do Chi nhánh Văn phòng Đăng ký Đất đai Hà Nội - Huyện Thạch Thất cấp ngày 15/7/2023; chủ sử dụng đất là Ông Giang Văn Thăn</w:t>
      </w:r>
      <w:r>
        <w:rPr>
          <w:rFonts w:ascii="Times New Roman" w:hAnsi="Times New Roman" w:eastAsia="Times New Roman" w:cs="Times New Roman"/>
          <w:color w:val="000000"/>
          <w:sz w:val="24"/>
        </w:rPr>
        <w:t xml:space="preserve">g và Bà Lê Thị Hà.</w:t>
        <w:br/>
        <w:t xml:space="preserve"> -   Giấy chứng nhận quyền sử dụng đất, quyền sở hữu nhà ở và tài sản khác gắn liền với đất  số: DL 206764, Số vào sổ cấp GCN: CN 00138 do Chi nhánh Văn phòng Đăng ký Đất đai Hà Nội - Huyện Thạch Thất cấp ngày 15/7/2023; chủ sử dụng đất </w:t>
      </w:r>
      <w:r>
        <w:rPr>
          <w:rFonts w:ascii="Times New Roman" w:hAnsi="Times New Roman" w:eastAsia="Times New Roman" w:cs="Times New Roman"/>
          <w:color w:val="000000"/>
          <w:sz w:val="24"/>
        </w:rPr>
        <w:t xml:space="preserve">là Ông Giang Văn Thăng và Bà Lê Thị Hà.</w:t>
      </w:r>
      <w:r>
        <w:rPr>
          <w:rFonts w:ascii="Times New Roman" w:hAnsi="Times New Roman" w:eastAsia="Times New Roman" w:cs="Times New Roman"/>
          <w:sz w:val="24"/>
        </w:rPr>
      </w:r>
      <w:r/>
    </w:p>
    <w:p>
      <w:pPr>
        <w:pBdr/>
        <w:spacing w:after="120" w:before="120" w:line="276" w:lineRule="auto"/>
        <w:ind/>
        <w:jc w:val="both"/>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Hợp đồng số 275/2025/0143/VFI-HĐTĐ.63.A ngày 18/01/2026 giữa Ngân hàng nông nghiệp và phát triển nông thôn Việt Nam - Chi nhánh Thạch Thất với Công ty Cổ phần Thẩm định và Đầu tư Tài chính Hoa Sen.</w:t>
      </w:r>
      <w:r>
        <w:rPr>
          <w:rFonts w:ascii="Times New Roman" w:hAnsi="Times New Roman" w:eastAsia="Times New Roman" w:cs="Times New Roman"/>
          <w:sz w:val="24"/>
        </w:rPr>
      </w:r>
      <w:r/>
    </w:p>
    <w:p>
      <w:pPr>
        <w:pStyle w:val="1032"/>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shd w:val="clear" w:color="auto" w:fill="ffffff"/>
        <w:spacing w:after="120" w:before="120" w:line="276" w:lineRule="auto"/>
        <w:ind/>
        <w:rPr>
          <w:i/>
          <w:iCs/>
          <w:color w:val="212529"/>
        </w:rPr>
      </w:pPr>
      <w:r>
        <w:rPr>
          <w:shd w:val="clear" w:color="auto" w:fill="ffffff"/>
        </w:rPr>
        <w:t xml:space="preserve">Huyện Thạch Thất, nằm ở phía Tây Hà Nội và cách trung tâm Thủ đô khoảng 30 km, đang được đánh giá là một trong những khu vực có nhiều tiềm năng phát triển bất động sản trong giai đoạn đô thị hóa mở rộng hiện nay. Với vị trí địa lý</w:t>
      </w:r>
      <w:r>
        <w:rPr>
          <w:shd w:val="clear" w:color="auto" w:fill="ffffff"/>
        </w:rPr>
        <w:t xml:space="preserve"> đóng vai trò là vùng chuyển tiếp giữa đồng bằng Bắc Bộ và khu vực trung du miền núi, Thạch Thất không chỉ sở hữu quỹ đất tương đối lớn mà còn có điều kiện thuận lợi để kết nối với các khu vực kinh tế – xã hội lân cận. Hệ thống giao thông tại đây ngày càng</w:t>
      </w:r>
      <w:r>
        <w:rPr>
          <w:shd w:val="clear" w:color="auto" w:fill="ffffff"/>
        </w:rPr>
        <w:t xml:space="preserve"> hoàn thiện với sự hiện diện của nhiều tuyến đường huyết mạch như Đại lộ Thăng Long, Quốc lộ 21, Quốc lộ 32 và các trục đường kết nối với khu vực Hòa Lạc, giúp rút ngắn đáng kể thời gian di chuyển về nội đô Hà Nội. Những lợi thế này tạo điều kiện thúc đẩy </w:t>
      </w:r>
      <w:r>
        <w:rPr>
          <w:shd w:val="clear" w:color="auto" w:fill="ffffff"/>
        </w:rPr>
        <w:t xml:space="preserve">phát triển các loại hình bất động sản như đất nền, nhà ở thổ cư, khu dân cư mới và các dự án thương mại – dịch vụ. Trong định hướng phát triển không gian đô thị của Hà Nội, Thạch Thất được xác định là khu vực có vai trò quan trọng trong việc giãn dân, giảm</w:t>
      </w:r>
      <w:r>
        <w:rPr>
          <w:shd w:val="clear" w:color="auto" w:fill="ffffff"/>
        </w:rPr>
        <w:t xml:space="preserve"> áp lực cho khu vực trung tâm, đồng thời hình thành các khu đô thị vệ tinh hiện đại, đồng bộ về hạ tầng kỹ thuật và hạ tầng xã hội. Chính những yếu tố về vị trí, giao thông và quy hoạch dài hạn đã giúp thị trường bất động sản tại Thạch Thất ngày càng thu h</w:t>
      </w:r>
      <w:r>
        <w:rPr>
          <w:shd w:val="clear" w:color="auto" w:fill="ffffff"/>
        </w:rPr>
        <w:t xml:space="preserve">út sự quan tâm của người mua ở thực cũng như các nhà đầu tư dài hạn.</w:t>
        <w:br/>
        <w:br/>
        <w:t xml:space="preserve">Bên cạnh lợi thế về vị trí và hạ tầng, động lực lớn nhất thúc đẩy bất động sản Thạch Thất phát triển chính là sự lan tỏa từ khu đô thị vệ tinh Hòa Lạc và khu công nghệ cao nằm trên địa b</w:t>
      </w:r>
      <w:r>
        <w:rPr>
          <w:shd w:val="clear" w:color="auto" w:fill="ffffff"/>
        </w:rPr>
        <w:t xml:space="preserve">àn lân cận. Khu vực này tập trung nhiều cơ sở đào tạo, viện nghiên cứu, trường đại học và các dự án công nghệ cao, qua đó tạo ra nhu cầu lớn về nhà ở, dịch vụ sinh hoạt và tiện ích đô thị cho đội ngũ chuyên gia, sinh viên và người lao động. Nhờ đó, nhiều x</w:t>
      </w:r>
      <w:r>
        <w:rPr>
          <w:shd w:val="clear" w:color="auto" w:fill="ffffff"/>
        </w:rPr>
        <w:t xml:space="preserve">ã của Thạch Thất như Bình Yên, Cần Kiệm, Thạch Hòa đang trở thành điểm đến của dòng tiền đầu tư bất động sản, đặc biệt là phân khúc đất ở và nhà ở thấp tầng. Tuy nhiên, cùng với cơ hội, thị trường bất động sản tại đây cũng đặt ra những thách thức nhất định</w:t>
      </w:r>
      <w:r>
        <w:rPr>
          <w:shd w:val="clear" w:color="auto" w:fill="ffffff"/>
        </w:rPr>
        <w:t xml:space="preserve">, đòi hỏi người mua và nhà đầu tư phải có sự tìm hiểu kỹ lưỡng về pháp lý, quy hoạch chi tiết và tiến độ triển khai hạ tầng. Quy hoạch phát triển của Thạch Thất trong thời gian tới được định hướng theo hướng cân bằng giữa đô thị hóa và bảo tồn các giá trị </w:t>
      </w:r>
      <w:r>
        <w:rPr>
          <w:shd w:val="clear" w:color="auto" w:fill="ffffff"/>
        </w:rPr>
        <w:t xml:space="preserve">truyền thống như làng nghề, cảnh quan sinh thái và không gian xanh. Điều này giúp khu vực không chỉ hấp dẫn về mặt đầu tư mà còn phù hợp để phát triển thành nơi an cư bền vững. Trong bối cảnh đó, bất động sản Thạch Thất được đánh giá là thị trường có tiềm </w:t>
      </w:r>
      <w:r>
        <w:rPr>
          <w:shd w:val="clear" w:color="auto" w:fill="ffffff"/>
        </w:rPr>
        <w:t xml:space="preserve">năng tăng trưởng trong dài hạn, song hiệu quả đầu tư sẽ phụ thuộc lớn vào việc lựa chọn vị trí phù hợp, nắm bắt đúng thời điểm và đánh giá chính xác các yếu tố rủi ro đi kèm.</w:t>
        <w:br/>
        <w:t xml:space="preserve">(Nguồn: https://onehousing.vn/blog/bat-dong-san-huyen-thach-that-tiem-nang-va-vi-</w:t>
      </w:r>
      <w:r>
        <w:rPr>
          <w:shd w:val="clear" w:color="auto" w:fill="ffffff"/>
        </w:rPr>
        <w:t xml:space="preserve">tri-dep-n17t)</w:t>
      </w:r>
      <w:r>
        <w:rPr>
          <w:i/>
          <w:iCs/>
          <w:color w:val="212529"/>
        </w:rPr>
      </w:r>
    </w:p>
    <w:p>
      <w:pPr>
        <w:pStyle w:val="1032"/>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p>
      <w:pPr>
        <w:pStyle w:val="1032"/>
        <w:pBdr/>
        <w:tabs>
          <w:tab w:val="left" w:leader="none" w:pos="993"/>
        </w:tabs>
        <w:spacing w:after="120" w:before="120" w:line="276" w:lineRule="auto"/>
        <w:ind w:left="0"/>
        <w:jc w:val="both"/>
        <w:rPr>
          <w:b/>
          <w:bCs/>
          <w:i/>
          <w:iCs/>
          <w:lang w:val="pt-BR"/>
        </w:rPr>
      </w:pPr>
      <w:r>
        <w:rPr>
          <w:b/>
          <w:bCs/>
          <w:i/>
          <w:iCs/>
          <w:lang w:val="pt-BR"/>
        </w:rPr>
        <w:t xml:space="preserve">Tài</w:t>
      </w:r>
      <w:r>
        <w:rPr>
          <w:b/>
          <w:bCs/>
          <w:i/>
          <w:iCs/>
          <w:lang w:val="pt-BR"/>
        </w:rPr>
        <w:t xml:space="preserve"> </w:t>
      </w:r>
      <w:r>
        <w:rPr>
          <w:b/>
          <w:bCs/>
          <w:i/>
          <w:iCs/>
          <w:lang w:val="pt-BR"/>
        </w:rPr>
        <w:t xml:space="preserve">sản</w:t>
      </w:r>
      <w:r>
        <w:rPr>
          <w:b/>
          <w:bCs/>
          <w:i/>
          <w:iCs/>
          <w:lang w:val="pt-BR"/>
        </w:rPr>
        <w:t xml:space="preserve"> </w:t>
      </w:r>
      <w:r>
        <w:rPr>
          <w:b/>
          <w:bCs/>
          <w:i/>
          <w:iCs/>
          <w:lang w:val="pt-BR"/>
        </w:rPr>
        <w:t xml:space="preserve">0</w:t>
      </w:r>
      <w:r>
        <w:rPr>
          <w:b/>
          <w:bCs/>
          <w:i/>
          <w:iCs/>
          <w:lang w:val="pt-BR"/>
        </w:rPr>
        <w:t xml:space="preserve">1:</w:t>
      </w:r>
      <w:r>
        <w:rPr>
          <w:b/>
          <w:bCs/>
          <w:i/>
          <w:iCs/>
          <w:lang w:val="pt-BR"/>
        </w:rPr>
      </w:r>
      <w:r>
        <w:rPr>
          <w:b/>
          <w:bCs/>
          <w:i/>
          <w:iCs/>
          <w:lang w:val="pt-BR"/>
        </w:rPr>
      </w:r>
    </w:p>
    <w:tbl>
      <w:tblPr>
        <w:tblStyle w:val="103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34"/>
        <w:gridCol w:w="2522"/>
        <w:gridCol w:w="2126"/>
        <w:gridCol w:w="2126"/>
        <w:gridCol w:w="2007"/>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Quyền sử dụng đất tại thửa đất số: 204, tờ bản đồ số: 38, có địa chỉ: Thôn Hòa Lạc, xã Bình Yên, huyện Thạch Thất, thành phố Hà Nội (nay là thôn Hòa Lạc, xã Hòa Lạc, thành phố Hà Nội) theo Giấy chứng nhận quyền sử dụng đất, quyền sở hữu nhà ở và tài sản kh</w:t>
            </w:r>
            <w:r>
              <w:rPr>
                <w:rFonts w:ascii="Times New Roman" w:hAnsi="Times New Roman" w:eastAsia="Times New Roman" w:cs="Times New Roman"/>
                <w:b/>
                <w:color w:val="000000"/>
                <w:sz w:val="24"/>
              </w:rPr>
              <w:t xml:space="preserve">ác gắn liền với đất số: DL 206763, Số vào sổ cấp GCN: CN 00137 do Chi nhánh Văn phòng Đăng ký Đất đai Hà Nội - Huyện Thạch Thất cấp ngày 15/7/2023; chủ sử dụng đất là Ông Giang Văn Thăng và Bà Lê Thị Hà.</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204</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38</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Thôn Hòa Lạc, xã Hòa Lạc, Thành phố Hà Nội.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188,3</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riêng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nông thôn (60m2), Đất trồng cây lâu năm (128,3m2)</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Được tặng cho đất được Công nhận QSDĐ như giao đất có thu tiền sử dụng đất: 60m2; Được tặng cho đất được Công nhận QSDĐ như giao đất không thu tiền sử dụng đất: 128,3m2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thẩm định giá, theo thông tin chủ tài sản cung cấp, Tổ thẩm định không thu được bất kỳ thông tin quy hoạch nào liên quan đến thửa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đất</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Tiếp giáp 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 (m):</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 (m):</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 (m):</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Cách DT420 khoảng 150m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 hướng tiếp giáp: </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 Đông: tiếp giáp đường giao thông</w:t>
              <w:br/>
              <w:t xml:space="preserve"> Các hướng còn lại tiếp giáp các thửa đất khác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trên bản đồ vệ tinh: (21.027988, 105.52433)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4791075" cy="2543175"/>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462993" name=""/>
                              <pic:cNvPicPr>
                                <a:picLocks noChangeAspect="1"/>
                              </pic:cNvPicPr>
                              <pic:nvPr/>
                            </pic:nvPicPr>
                            <pic:blipFill rotWithShape="1">
                              <a:blip r:embed="rId17"/>
                              <a:stretch/>
                            </pic:blipFill>
                            <pic:spPr bwMode="auto">
                              <a:xfrm>
                                <a:off x="0" y="0"/>
                                <a:ext cx="4791074" cy="25431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77.25pt;height:200.25pt;mso-wrap-distance-left:0.00pt;mso-wrap-distance-top:0.00pt;mso-wrap-distance-right:0.00pt;mso-wrap-distance-bottom:0.00pt;z-index:1;" stroked="false">
                      <v:imagedata r:id="rId17" o:title=""/>
                      <o:lock v:ext="edit" rotation="t"/>
                    </v:shape>
                  </w:pict>
                </mc:Fallback>
              </mc:AlternateConten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188,3</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tiền (m):</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8,63</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(m): </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21,54</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Tương đối vuông vức</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cấp nước: Nước máy, Hạ tầng thoát nước: Tự nhiên, Hạ tầng cấp điện: Điện lưới, Hạ tầng thông tin liên lạc: Điện thoại, Mạng internet, Truyền hình cáp</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khu dân cư</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Thưa thớt</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Khá</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 có lợi thế kinh doanh</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Tài sản gắn liền với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Đất trống</w:t>
            </w:r>
            <w:r/>
          </w:p>
        </w:tc>
      </w:tr>
    </w:tbl>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p>
      <w:pPr>
        <w:pStyle w:val="1032"/>
        <w:pBdr/>
        <w:tabs>
          <w:tab w:val="left" w:leader="none" w:pos="993"/>
        </w:tabs>
        <w:spacing w:after="120" w:before="120" w:line="276" w:lineRule="auto"/>
        <w:ind w:left="0"/>
        <w:jc w:val="both"/>
        <w:rPr>
          <w:b/>
          <w:bCs/>
          <w:i/>
          <w:iCs/>
          <w:lang w:val="pt-BR"/>
        </w:rPr>
      </w:pPr>
      <w:r>
        <w:rPr>
          <w:b/>
          <w:bCs/>
          <w:i/>
          <w:iCs/>
          <w:lang w:val="pt-BR"/>
        </w:rPr>
        <w:t xml:space="preserve">Tài</w:t>
      </w:r>
      <w:r>
        <w:rPr>
          <w:b/>
          <w:bCs/>
          <w:i/>
          <w:iCs/>
          <w:lang w:val="pt-BR"/>
        </w:rPr>
        <w:t xml:space="preserve"> </w:t>
      </w:r>
      <w:r>
        <w:rPr>
          <w:b/>
          <w:bCs/>
          <w:i/>
          <w:iCs/>
          <w:lang w:val="pt-BR"/>
        </w:rPr>
        <w:t xml:space="preserve">sản</w:t>
      </w:r>
      <w:r>
        <w:rPr>
          <w:b/>
          <w:bCs/>
          <w:i/>
          <w:iCs/>
          <w:lang w:val="pt-BR"/>
        </w:rPr>
        <w:t xml:space="preserve"> </w:t>
      </w:r>
      <w:r>
        <w:rPr>
          <w:b/>
          <w:bCs/>
          <w:i/>
          <w:iCs/>
          <w:lang w:val="pt-BR"/>
        </w:rPr>
        <w:t xml:space="preserve">0</w:t>
      </w:r>
      <w:r>
        <w:rPr>
          <w:b/>
          <w:bCs/>
          <w:i/>
          <w:iCs/>
          <w:lang w:val="pt-BR"/>
        </w:rPr>
        <w:t xml:space="preserve">2</w:t>
      </w:r>
      <w:r>
        <w:rPr>
          <w:b/>
          <w:bCs/>
          <w:i/>
          <w:iCs/>
          <w:lang w:val="pt-BR"/>
        </w:rPr>
        <w:t xml:space="preserve">:</w:t>
      </w:r>
      <w:r>
        <w:rPr>
          <w:b/>
          <w:bCs/>
          <w:i/>
          <w:iCs/>
          <w:lang w:val="pt-BR"/>
        </w:rPr>
      </w:r>
      <w:r>
        <w:rPr>
          <w:b/>
          <w:bCs/>
          <w:i/>
          <w:iCs/>
          <w:lang w:val="pt-BR"/>
        </w:rPr>
      </w:r>
    </w:p>
    <w:tbl>
      <w:tblPr>
        <w:tblStyle w:val="103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34"/>
        <w:gridCol w:w="2522"/>
        <w:gridCol w:w="2126"/>
        <w:gridCol w:w="2126"/>
        <w:gridCol w:w="2007"/>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Quyền sử dụng đất tại thửa đất số: 205, tờ bản đồ số: 38, có địa chỉ: Thôn Hòa Lạc, xã Bình Yên, huyện Thạch Thất, thành phố Hà Nội (nay là thôn Hòa Lạc, xã Hòa Lạc, thành phố Hà Nội) theo Giấy chứng nhận quyền sử dụng đất, quyền sở hữu nhà ở và tài sản kh</w:t>
            </w:r>
            <w:r>
              <w:rPr>
                <w:rFonts w:ascii="Times New Roman" w:hAnsi="Times New Roman" w:eastAsia="Times New Roman" w:cs="Times New Roman"/>
                <w:b/>
                <w:color w:val="000000"/>
                <w:sz w:val="24"/>
              </w:rPr>
              <w:t xml:space="preserve">ác gắn liền với đất số: DL 206764, Số vào sổ cấp GCN: CN 00138 do Chi nhánh Văn phòng Đăng ký Đất đai Hà Nội - Huyện Thạch Thất cấp ngày 15/7/2023; chủ sử dụng đất là Ông Giang Văn Thăng và Bà Lê Thị Hà. </w:t>
              <w:tab/>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205</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38</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Thôn Hòa Lạc, xã Hòa Lạc, Thành phố Hà Nội.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186</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riêng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nông thôn (60m2), Đất trồng cây lâu năm (126m2)</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Được tặng cho đất được Công nhận QSDĐ như giao đất có thu tiền sử dụng đất: 60m2; Được tặng cho đất được Công nhận QSDĐ như giao đất không thu tiền sử dụng đất: 126m2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thẩm định giá, theo thông tin chủ tài sản cung cấp, Tổ thẩm định không thu được bất kỳ thông tin quy hoạch nào liên quan đến thửa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đất</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Tiếp giáp 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 (m):</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 (m):</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 (m):</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Cách DT420 khoảng 150m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 hướng tiếp giáp: </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 Đông: tiếp giáp đường giao thông</w:t>
              <w:br/>
              <w:t xml:space="preserve"> Các hướng còn lại tiếp giáp các thửa đất khác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trên bản đồ vệ tinh: (21.028, 105.52433333333)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4791075" cy="2543175"/>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319313" name=""/>
                              <pic:cNvPicPr>
                                <a:picLocks noChangeAspect="1"/>
                              </pic:cNvPicPr>
                              <pic:nvPr/>
                            </pic:nvPicPr>
                            <pic:blipFill rotWithShape="1">
                              <a:blip r:embed="rId18"/>
                              <a:stretch/>
                            </pic:blipFill>
                            <pic:spPr bwMode="auto">
                              <a:xfrm>
                                <a:off x="0" y="0"/>
                                <a:ext cx="4791074" cy="25431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377.25pt;height:200.25pt;mso-wrap-distance-left:0.00pt;mso-wrap-distance-top:0.00pt;mso-wrap-distance-right:0.00pt;mso-wrap-distance-bottom:0.00pt;z-index:1;" stroked="false">
                      <v:imagedata r:id="rId18" o:title=""/>
                      <o:lock v:ext="edit" rotation="t"/>
                    </v:shape>
                  </w:pict>
                </mc:Fallback>
              </mc:AlternateConten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186</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tiền (m):</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8,63</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(m): </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21,25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Tương đối vuông vức</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cấp nước: Nước máy, Hạ tầng thoát nước: Tự nhiên, Hạ tầng cấp điện: Điện lưới, Hạ tầng thông tin liên lạc: Điện thoại, Mạng internet, Truyền hình cáp</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khu dân cư</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Thưa thớt</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Khá</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 có lợi thế kinh doanh</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Tài sản gắn liền với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Đất trống</w:t>
            </w:r>
            <w:r/>
          </w:p>
        </w:tc>
      </w:tr>
    </w:tbl>
    <w:p>
      <w:pPr>
        <w:pStyle w:val="1032"/>
        <w:pBdr/>
        <w:tabs>
          <w:tab w:val="left" w:leader="none" w:pos="993"/>
        </w:tabs>
        <w:spacing w:after="120" w:before="120" w:line="276" w:lineRule="auto"/>
        <w:ind w:left="0"/>
        <w:jc w:val="both"/>
        <w:rPr>
          <w:b/>
          <w:bCs/>
          <w:i/>
          <w:iCs/>
          <w:lang w:val="pt-BR"/>
        </w:rPr>
      </w:pPr>
      <w:r>
        <w:rPr>
          <w:b/>
          <w:bCs/>
          <w:i/>
          <w:iCs/>
          <w:lang w:val="pt-BR"/>
        </w:rPr>
      </w:r>
      <w:r>
        <w:rPr>
          <w:b/>
          <w:bCs/>
          <w:i/>
          <w:iCs/>
          <w:lang w:val="pt-BR"/>
        </w:rPr>
      </w:r>
      <w:r>
        <w:rPr>
          <w:b/>
          <w:bCs/>
          <w:i/>
          <w:iCs/>
          <w:lang w:val="pt-BR"/>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71"/>
        <w:gridCol w:w="3854"/>
        <w:gridCol w:w="1571"/>
        <w:gridCol w:w="3594"/>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32"/>
        <w:pBdr/>
        <w:tabs>
          <w:tab w:val="left" w:leader="none" w:pos="993"/>
        </w:tabs>
        <w:spacing w:after="120" w:before="120" w:line="276" w:lineRule="auto"/>
        <w:ind w:left="0"/>
        <w:jc w:val="both"/>
        <w:rPr>
          <w:b/>
          <w:bCs/>
          <w:i/>
          <w:iCs/>
          <w:lang w:val="pt-BR"/>
        </w:rPr>
      </w:pPr>
      <w:r>
        <w:rPr>
          <w:b/>
          <w:bCs/>
          <w:i/>
          <w:iCs/>
          <w:lang w:val="pt-BR"/>
        </w:rPr>
      </w:r>
      <w:r>
        <w:rPr>
          <w:b/>
          <w:bCs/>
          <w:i/>
          <w:iCs/>
          <w:lang w:val="pt-BR"/>
        </w:rPr>
      </w:r>
      <w:r>
        <w:rPr>
          <w:b/>
          <w:bCs/>
          <w:i/>
          <w:iCs/>
          <w:lang w:val="pt-BR"/>
        </w:rPr>
      </w:r>
    </w:p>
    <w:p>
      <w:pPr>
        <w:pBdr/>
        <w:spacing w:after="120" w:before="120" w:line="276"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71"/>
        <w:gridCol w:w="3854"/>
        <w:gridCol w:w="1571"/>
        <w:gridCol w:w="3594"/>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32"/>
        <w:pBdr/>
        <w:tabs>
          <w:tab w:val="left" w:leader="none" w:pos="993"/>
        </w:tabs>
        <w:spacing w:after="120" w:before="120" w:line="276" w:lineRule="auto"/>
        <w:ind w:left="0"/>
        <w:jc w:val="both"/>
        <w:rPr>
          <w:b/>
          <w:bCs/>
          <w:i/>
          <w:iCs/>
          <w:lang w:val="pt-BR"/>
        </w:rPr>
      </w:pPr>
      <w:r>
        <w:rPr>
          <w:b/>
          <w:bCs/>
          <w:i/>
          <w:iCs/>
          <w:lang w:val="pt-BR"/>
        </w:rPr>
      </w:r>
      <w:r>
        <w:rPr>
          <w:b/>
          <w:bCs/>
          <w:i/>
          <w:iCs/>
          <w:lang w:val="pt-BR"/>
        </w:rPr>
      </w:r>
      <w:r>
        <w:rPr>
          <w:b/>
          <w:bCs/>
          <w:i/>
          <w:iCs/>
          <w:lang w:val="pt-BR"/>
        </w:rPr>
      </w:r>
    </w:p>
    <w:p>
      <w:pPr>
        <w:pStyle w:val="1032"/>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2"/>
        <w:numPr>
          <w:ilvl w:val="0"/>
          <w:numId w:val="3"/>
        </w:numPr>
        <w:pBdr/>
        <w:tabs>
          <w:tab w:val="left" w:leader="none" w:pos="993"/>
        </w:tabs>
        <w:spacing w:after="120" w:before="120" w:line="264" w:lineRule="auto"/>
        <w:ind/>
        <w:jc w:val="both"/>
        <w:rPr>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lang w:val="pt-BR"/>
        </w:rPr>
        <w:t xml:space="preserve">dịch</w:t>
      </w:r>
      <w:r>
        <w:rPr>
          <w:lang w:val="pt-BR"/>
        </w:rPr>
        <w:t xml:space="preserve"> </w:t>
      </w:r>
      <w:r>
        <w:rPr>
          <w:lang w:val="pt-BR"/>
        </w:rPr>
        <w:t xml:space="preserve">vụ</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khác</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được</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liên</w:t>
      </w:r>
      <w:r>
        <w:rPr>
          <w:lang w:val="pt-BR"/>
        </w:rPr>
        <w:t xml:space="preserve"> </w:t>
      </w:r>
      <w:r>
        <w:rPr>
          <w:lang w:val="pt-BR"/>
        </w:rPr>
        <w:t xml:space="preserve">đới</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trong</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này</w:t>
      </w:r>
      <w:r>
        <w:rPr>
          <w:lang w:val="pt-BR"/>
        </w:rPr>
        <w:t xml:space="preserve">.</w:t>
      </w:r>
      <w:r>
        <w:rPr>
          <w:lang w:val="pt-BR"/>
        </w:rPr>
      </w:r>
      <w:r>
        <w:rPr>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2"/>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2"/>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32"/>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32"/>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2"/>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2"/>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làm</w:t>
      </w:r>
      <w:r>
        <w:rPr>
          <w:spacing w:val="-4"/>
          <w:lang w:val="pt-BR"/>
        </w:rPr>
        <w:t xml:space="preserve"> </w:t>
      </w:r>
      <w:r>
        <w:rPr>
          <w:spacing w:val="-4"/>
          <w:lang w:val="pt-BR"/>
        </w:rPr>
        <w:t xml:space="preserve">trọng</w:t>
      </w:r>
      <w:r>
        <w:rPr>
          <w:spacing w:val="-4"/>
          <w:lang w:val="pt-BR"/>
        </w:rPr>
        <w:t xml:space="preserve"> </w:t>
      </w:r>
      <w:r>
        <w:rPr>
          <w:spacing w:val="-4"/>
          <w:lang w:val="pt-BR"/>
        </w:rPr>
        <w:t xml:space="preserve">yếu</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quyền</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32"/>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2"/>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 </w:t>
      </w:r>
      <w:r>
        <w:rPr>
          <w:b/>
          <w:lang w:val="pt-BR"/>
        </w:rPr>
        <w:t xml:space="preserve">nằm</w:t>
      </w:r>
      <w:r>
        <w:rPr>
          <w:b/>
          <w:lang w:val="pt-BR"/>
        </w:rPr>
        <w:t xml:space="preserve"> </w:t>
      </w:r>
      <w:r>
        <w:rPr>
          <w:b/>
          <w:lang w:val="pt-BR"/>
        </w:rPr>
        <w:t xml:space="preserve">ngoài</w:t>
      </w:r>
      <w:r>
        <w:rPr>
          <w:b/>
          <w:lang w:val="pt-BR"/>
        </w:rPr>
        <w:t xml:space="preserve"> </w:t>
      </w:r>
      <w:r>
        <w:rPr>
          <w:b/>
          <w:lang w:val="pt-BR"/>
        </w:rPr>
        <w:t xml:space="preserve">quy</w:t>
      </w:r>
      <w:r>
        <w:rPr>
          <w:b/>
          <w:lang w:val="pt-BR"/>
        </w:rPr>
        <w:t xml:space="preserve"> </w:t>
      </w:r>
      <w:r>
        <w:rPr>
          <w:b/>
          <w:lang w:val="pt-BR"/>
        </w:rPr>
        <w:t xml:space="preserve">hoạch</w:t>
      </w:r>
      <w:r>
        <w:rPr>
          <w:b/>
          <w:lang w:val="pt-BR"/>
        </w:rPr>
        <w:t xml:space="preserve">:</w:t>
      </w:r>
      <w:r>
        <w:rPr>
          <w:b/>
          <w:lang w:val="pt-BR"/>
        </w:rPr>
      </w:r>
      <w:r>
        <w:rPr>
          <w:b/>
          <w:lang w:val="pt-BR"/>
        </w:rPr>
      </w:r>
    </w:p>
    <w:p>
      <w:pPr>
        <w:pStyle w:val="1032"/>
        <w:numPr>
          <w:ilvl w:val="0"/>
          <w:numId w:val="39"/>
        </w:numPr>
        <w:pBdr/>
        <w:spacing w:after="120" w:before="120" w:line="276" w:lineRule="auto"/>
        <w:ind w:hanging="426" w:left="426"/>
        <w:jc w:val="both"/>
        <w:rPr>
          <w:b/>
          <w:i/>
          <w:iCs/>
          <w:lang w:val="pt-BR"/>
        </w:rPr>
      </w:pPr>
      <w:r>
        <w:rPr>
          <w:b/>
          <w:i/>
          <w:iCs/>
          <w:lang w:val="pt-BR"/>
        </w:rPr>
        <w:t xml:space="preserve">Tài</w:t>
      </w:r>
      <w:r>
        <w:rPr>
          <w:b/>
          <w:i/>
          <w:iCs/>
          <w:lang w:val="pt-BR"/>
        </w:rPr>
        <w:t xml:space="preserve"> </w:t>
      </w:r>
      <w:r>
        <w:rPr>
          <w:b/>
          <w:i/>
          <w:iCs/>
          <w:lang w:val="pt-BR"/>
        </w:rPr>
        <w:t xml:space="preserve">sản</w:t>
      </w:r>
      <w:r>
        <w:rPr>
          <w:b/>
          <w:i/>
          <w:iCs/>
          <w:lang w:val="pt-BR"/>
        </w:rPr>
        <w:t xml:space="preserve"> 01:</w:t>
      </w:r>
      <w:r>
        <w:rPr>
          <w:b/>
          <w:i/>
          <w:iCs/>
          <w:lang w:val="pt-BR"/>
        </w:rPr>
      </w:r>
      <w:r>
        <w:rPr>
          <w:b/>
          <w:i/>
          <w:iCs/>
          <w:lang w:val="pt-BR"/>
        </w:rPr>
      </w:r>
    </w:p>
    <w:p>
      <w:pPr>
        <w:pStyle w:val="1032"/>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Style w:val="103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418"/>
        <w:gridCol w:w="994"/>
        <w:gridCol w:w="1843"/>
        <w:gridCol w:w="2102"/>
        <w:gridCol w:w="2009"/>
        <w:gridCol w:w="2377"/>
      </w:tblGrid>
      <w:tr>
        <w:trPr>
          <w:trHeight w:val="30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41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9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TSTĐ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1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TSSS1</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0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TSSS2</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3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TSSS3</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18"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99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1843"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102"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009"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3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r>
      <w:tr>
        <w:trPr>
          <w:trHeight w:val="888"/>
        </w:trPr>
        <w:tc>
          <w:tcPr>
            <w:tcBorders>
              <w:left w:val="single" w:color="000000" w:sz="8" w:space="0"/>
              <w:bottom w:val="single" w:color="000000" w:sz="8" w:space="0"/>
              <w:right w:val="single" w:color="000000" w:sz="8" w:space="0"/>
            </w:tcBorders>
            <w:tcMar>
              <w:left w:w="108" w:type="dxa"/>
              <w:top w:w="0" w:type="dxa"/>
              <w:right w:w="108" w:type="dxa"/>
              <w:bottom w:w="0" w:type="dxa"/>
            </w:tcMar>
            <w:tcW w:w="41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9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Hòa Lạc, Thành phố Hà Nội</w:t>
            </w:r>
            <w:r/>
          </w:p>
        </w:tc>
        <w:tc>
          <w:tcPr>
            <w:tcBorders>
              <w:bottom w:val="single" w:color="000000" w:sz="8" w:space="0"/>
              <w:right w:val="single" w:color="000000" w:sz="8" w:space="0"/>
            </w:tcBorders>
            <w:tcMar>
              <w:left w:w="108" w:type="dxa"/>
              <w:top w:w="0" w:type="dxa"/>
              <w:right w:w="108" w:type="dxa"/>
              <w:bottom w:w="0" w:type="dxa"/>
            </w:tcMar>
            <w:tcW w:w="21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Hòa Lạc, Thành phố Hà Nội</w:t>
            </w:r>
            <w:r/>
          </w:p>
        </w:tc>
        <w:tc>
          <w:tcPr>
            <w:tcBorders>
              <w:bottom w:val="single" w:color="000000" w:sz="8" w:space="0"/>
              <w:right w:val="single" w:color="000000" w:sz="8" w:space="0"/>
            </w:tcBorders>
            <w:tcMar>
              <w:left w:w="108" w:type="dxa"/>
              <w:top w:w="0" w:type="dxa"/>
              <w:right w:w="108" w:type="dxa"/>
              <w:bottom w:w="0" w:type="dxa"/>
            </w:tcMar>
            <w:tcW w:w="20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Hòa Lạc, Thành phố Hà Nội</w:t>
            </w:r>
            <w:r/>
          </w:p>
        </w:tc>
        <w:tc>
          <w:tcPr>
            <w:tcBorders>
              <w:bottom w:val="single" w:color="000000" w:sz="8" w:space="0"/>
              <w:right w:val="single" w:color="000000" w:sz="8" w:space="0"/>
            </w:tcBorders>
            <w:tcMar>
              <w:left w:w="108" w:type="dxa"/>
              <w:top w:w="0" w:type="dxa"/>
              <w:right w:w="108" w:type="dxa"/>
              <w:bottom w:w="0" w:type="dxa"/>
            </w:tcMar>
            <w:tcW w:w="23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Hòa Lạc, Thành phố Hà Nội</w:t>
            </w:r>
            <w:r/>
          </w:p>
        </w:tc>
      </w:tr>
      <w:tr>
        <w:trPr>
          <w:trHeight w:val="2760"/>
        </w:trPr>
        <w:tc>
          <w:tcPr>
            <w:tcBorders>
              <w:left w:val="single" w:color="000000" w:sz="8" w:space="0"/>
              <w:bottom w:val="single" w:color="000000" w:sz="8" w:space="0"/>
              <w:right w:val="single" w:color="000000" w:sz="8" w:space="0"/>
            </w:tcBorders>
            <w:tcMar>
              <w:left w:w="108" w:type="dxa"/>
              <w:top w:w="0" w:type="dxa"/>
              <w:right w:w="108" w:type="dxa"/>
              <w:bottom w:w="0" w:type="dxa"/>
            </w:tcMar>
            <w:tcW w:w="41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9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1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https://www.facebook.com/photo/?fbid=895789632953877&amp;set=pcb.2706848543003105</w:t>
            </w:r>
            <w:r/>
          </w:p>
        </w:tc>
        <w:tc>
          <w:tcPr>
            <w:tcBorders>
              <w:bottom w:val="single" w:color="000000" w:sz="8" w:space="0"/>
              <w:right w:val="single" w:color="000000" w:sz="8" w:space="0"/>
            </w:tcBorders>
            <w:tcMar>
              <w:left w:w="108" w:type="dxa"/>
              <w:top w:w="0" w:type="dxa"/>
              <w:right w:w="108" w:type="dxa"/>
              <w:bottom w:w="0" w:type="dxa"/>
            </w:tcMar>
            <w:tcW w:w="20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c>
          <w:tcPr>
            <w:tcBorders>
              <w:bottom w:val="single" w:color="000000" w:sz="8" w:space="0"/>
              <w:right w:val="single" w:color="000000" w:sz="8" w:space="0"/>
            </w:tcBorders>
            <w:tcMar>
              <w:left w:w="108" w:type="dxa"/>
              <w:top w:w="0" w:type="dxa"/>
              <w:right w:w="108" w:type="dxa"/>
              <w:bottom w:w="0" w:type="dxa"/>
            </w:tcMar>
            <w:tcW w:w="23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https://www.facebook.com/photo/?fbid=1566256244616216&amp;set=pcb.2723460261341933</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41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9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Thông tin liên lạc</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1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0972 043 281 </w:t>
              <w:br/>
              <w:t xml:space="preserve"> (Toàn)</w:t>
            </w:r>
            <w:r/>
          </w:p>
        </w:tc>
        <w:tc>
          <w:tcPr>
            <w:tcBorders>
              <w:bottom w:val="single" w:color="000000" w:sz="8" w:space="0"/>
              <w:right w:val="single" w:color="000000" w:sz="8" w:space="0"/>
            </w:tcBorders>
            <w:tcMar>
              <w:left w:w="108" w:type="dxa"/>
              <w:top w:w="0" w:type="dxa"/>
              <w:right w:w="108" w:type="dxa"/>
              <w:bottom w:w="0" w:type="dxa"/>
            </w:tcMar>
            <w:tcW w:w="20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0972 043 281</w:t>
              <w:br/>
              <w:t xml:space="preserve"> (Toàn)</w:t>
            </w:r>
            <w:r/>
          </w:p>
        </w:tc>
        <w:tc>
          <w:tcPr>
            <w:tcBorders>
              <w:bottom w:val="single" w:color="000000" w:sz="8" w:space="0"/>
              <w:right w:val="single" w:color="000000" w:sz="8" w:space="0"/>
            </w:tcBorders>
            <w:tcMar>
              <w:left w:w="108" w:type="dxa"/>
              <w:top w:w="0" w:type="dxa"/>
              <w:right w:w="108" w:type="dxa"/>
              <w:bottom w:w="0" w:type="dxa"/>
            </w:tcMar>
            <w:tcW w:w="23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0988.604.589</w:t>
              <w:br/>
              <w:t xml:space="preserve"> (Hải)</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1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9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1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 </w:t>
            </w:r>
            <w:r/>
          </w:p>
        </w:tc>
        <w:tc>
          <w:tcPr>
            <w:tcBorders>
              <w:bottom w:val="single" w:color="000000" w:sz="8" w:space="0"/>
              <w:right w:val="single" w:color="000000" w:sz="8" w:space="0"/>
            </w:tcBorders>
            <w:tcMar>
              <w:left w:w="108" w:type="dxa"/>
              <w:top w:w="0" w:type="dxa"/>
              <w:right w:w="108" w:type="dxa"/>
              <w:bottom w:w="0" w:type="dxa"/>
            </w:tcMar>
            <w:tcW w:w="20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 </w:t>
            </w:r>
            <w:r/>
          </w:p>
        </w:tc>
        <w:tc>
          <w:tcPr>
            <w:tcBorders>
              <w:bottom w:val="single" w:color="000000" w:sz="8" w:space="0"/>
              <w:right w:val="single" w:color="000000" w:sz="8" w:space="0"/>
            </w:tcBorders>
            <w:tcMar>
              <w:left w:w="108" w:type="dxa"/>
              <w:top w:w="0" w:type="dxa"/>
              <w:right w:w="108" w:type="dxa"/>
              <w:bottom w:w="0" w:type="dxa"/>
            </w:tcMar>
            <w:tcW w:w="23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 </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41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9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1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01/2026</w:t>
            </w:r>
            <w:r/>
          </w:p>
        </w:tc>
        <w:tc>
          <w:tcPr>
            <w:tcBorders>
              <w:bottom w:val="single" w:color="000000" w:sz="8" w:space="0"/>
              <w:right w:val="single" w:color="000000" w:sz="8" w:space="0"/>
            </w:tcBorders>
            <w:tcMar>
              <w:left w:w="108" w:type="dxa"/>
              <w:top w:w="0" w:type="dxa"/>
              <w:right w:w="108" w:type="dxa"/>
              <w:bottom w:w="0" w:type="dxa"/>
            </w:tcMar>
            <w:tcW w:w="20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01/2026</w:t>
            </w:r>
            <w:r/>
          </w:p>
        </w:tc>
        <w:tc>
          <w:tcPr>
            <w:tcBorders>
              <w:bottom w:val="single" w:color="000000" w:sz="8" w:space="0"/>
              <w:right w:val="single" w:color="000000" w:sz="8" w:space="0"/>
            </w:tcBorders>
            <w:tcMar>
              <w:left w:w="108" w:type="dxa"/>
              <w:top w:w="0" w:type="dxa"/>
              <w:right w:w="108" w:type="dxa"/>
              <w:bottom w:w="0" w:type="dxa"/>
            </w:tcMar>
            <w:tcW w:w="23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01/2026</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41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9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21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20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23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41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9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nông thôn (60 m²), Đất trồng cây lâu năm (128.3 m²)</w:t>
            </w:r>
            <w:r/>
          </w:p>
        </w:tc>
        <w:tc>
          <w:tcPr>
            <w:tcBorders>
              <w:bottom w:val="single" w:color="000000" w:sz="8" w:space="0"/>
              <w:right w:val="single" w:color="000000" w:sz="8" w:space="0"/>
            </w:tcBorders>
            <w:tcMar>
              <w:left w:w="108" w:type="dxa"/>
              <w:top w:w="0" w:type="dxa"/>
              <w:right w:w="108" w:type="dxa"/>
              <w:bottom w:w="0" w:type="dxa"/>
            </w:tcMar>
            <w:tcW w:w="21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nông thôn (66,6m2) ,Đất trồng cây lâu năm (44,2m2)</w:t>
            </w:r>
            <w:r/>
          </w:p>
        </w:tc>
        <w:tc>
          <w:tcPr>
            <w:tcBorders>
              <w:bottom w:val="single" w:color="000000" w:sz="8" w:space="0"/>
              <w:right w:val="single" w:color="000000" w:sz="8" w:space="0"/>
            </w:tcBorders>
            <w:tcMar>
              <w:left w:w="108" w:type="dxa"/>
              <w:top w:w="0" w:type="dxa"/>
              <w:right w:w="108" w:type="dxa"/>
              <w:bottom w:w="0" w:type="dxa"/>
            </w:tcMar>
            <w:tcW w:w="20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nông thôn (60m2), Đất trồng cây lâu năm (67,5m2)</w:t>
            </w:r>
            <w:r/>
          </w:p>
        </w:tc>
        <w:tc>
          <w:tcPr>
            <w:tcBorders>
              <w:bottom w:val="single" w:color="000000" w:sz="8" w:space="0"/>
              <w:right w:val="single" w:color="000000" w:sz="8" w:space="0"/>
            </w:tcBorders>
            <w:tcMar>
              <w:left w:w="108" w:type="dxa"/>
              <w:top w:w="0" w:type="dxa"/>
              <w:right w:w="108" w:type="dxa"/>
              <w:bottom w:w="0" w:type="dxa"/>
            </w:tcMar>
            <w:tcW w:w="23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nông thôn (60m2), Đất trồng cây lâu năm (49,2m2)</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41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9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lâu dài</w:t>
              <w:br/>
              <w:t xml:space="preserve"> CLN: có thời hạn</w:t>
            </w:r>
            <w:r/>
          </w:p>
        </w:tc>
        <w:tc>
          <w:tcPr>
            <w:tcBorders>
              <w:bottom w:val="single" w:color="000000" w:sz="8" w:space="0"/>
              <w:right w:val="single" w:color="000000" w:sz="8" w:space="0"/>
            </w:tcBorders>
            <w:tcMar>
              <w:left w:w="108" w:type="dxa"/>
              <w:top w:w="0" w:type="dxa"/>
              <w:right w:w="108" w:type="dxa"/>
              <w:bottom w:w="0" w:type="dxa"/>
            </w:tcMar>
            <w:tcW w:w="21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lâu dài</w:t>
              <w:br/>
              <w:t xml:space="preserve"> CLN: có thời hạn</w:t>
            </w:r>
            <w:r/>
          </w:p>
        </w:tc>
        <w:tc>
          <w:tcPr>
            <w:tcBorders>
              <w:bottom w:val="single" w:color="000000" w:sz="8" w:space="0"/>
              <w:right w:val="single" w:color="000000" w:sz="8" w:space="0"/>
            </w:tcBorders>
            <w:tcMar>
              <w:left w:w="108" w:type="dxa"/>
              <w:top w:w="0" w:type="dxa"/>
              <w:right w:w="108" w:type="dxa"/>
              <w:bottom w:w="0" w:type="dxa"/>
            </w:tcMar>
            <w:tcW w:w="20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lâu dài</w:t>
              <w:br/>
              <w:t xml:space="preserve"> CLN: có thời hạn</w:t>
            </w:r>
            <w:r/>
          </w:p>
        </w:tc>
        <w:tc>
          <w:tcPr>
            <w:tcBorders>
              <w:bottom w:val="single" w:color="000000" w:sz="8" w:space="0"/>
              <w:right w:val="single" w:color="000000" w:sz="8" w:space="0"/>
            </w:tcBorders>
            <w:tcMar>
              <w:left w:w="108" w:type="dxa"/>
              <w:top w:w="0" w:type="dxa"/>
              <w:right w:w="108" w:type="dxa"/>
              <w:bottom w:w="0" w:type="dxa"/>
            </w:tcMar>
            <w:tcW w:w="23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lâu dài</w:t>
              <w:br/>
              <w:t xml:space="preserve"> CLN: có thời hạn</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41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9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Hòa Lạc, Thành phố Hà Nội, VT4</w:t>
            </w:r>
            <w:r/>
          </w:p>
        </w:tc>
        <w:tc>
          <w:tcPr>
            <w:tcBorders>
              <w:bottom w:val="single" w:color="000000" w:sz="8" w:space="0"/>
              <w:right w:val="single" w:color="000000" w:sz="8" w:space="0"/>
            </w:tcBorders>
            <w:tcMar>
              <w:left w:w="108" w:type="dxa"/>
              <w:top w:w="0" w:type="dxa"/>
              <w:right w:w="108" w:type="dxa"/>
              <w:bottom w:w="0" w:type="dxa"/>
            </w:tcMar>
            <w:tcW w:w="21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Hòa Lạc, Thành phố Hà Nội, VT3</w:t>
            </w:r>
            <w:r/>
          </w:p>
        </w:tc>
        <w:tc>
          <w:tcPr>
            <w:tcBorders>
              <w:bottom w:val="single" w:color="000000" w:sz="8" w:space="0"/>
              <w:right w:val="single" w:color="000000" w:sz="8" w:space="0"/>
            </w:tcBorders>
            <w:tcMar>
              <w:left w:w="108" w:type="dxa"/>
              <w:top w:w="0" w:type="dxa"/>
              <w:right w:w="108" w:type="dxa"/>
              <w:bottom w:w="0" w:type="dxa"/>
            </w:tcMar>
            <w:tcW w:w="20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Hòa Lạc, Thành phố Hà Nội, VT3</w:t>
            </w:r>
            <w:r/>
          </w:p>
        </w:tc>
        <w:tc>
          <w:tcPr>
            <w:tcBorders>
              <w:bottom w:val="single" w:color="000000" w:sz="8" w:space="0"/>
              <w:right w:val="single" w:color="000000" w:sz="8" w:space="0"/>
            </w:tcBorders>
            <w:tcMar>
              <w:left w:w="108" w:type="dxa"/>
              <w:top w:w="0" w:type="dxa"/>
              <w:right w:w="108" w:type="dxa"/>
              <w:bottom w:w="0" w:type="dxa"/>
            </w:tcMar>
            <w:tcW w:w="23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Hòa Lạc, Thành phố Hà Nội, VT3</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41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9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đất</w:t>
            </w:r>
            <w:r/>
          </w:p>
        </w:tc>
        <w:tc>
          <w:tcPr>
            <w:tcBorders>
              <w:bottom w:val="single" w:color="000000" w:sz="8" w:space="0"/>
              <w:right w:val="single" w:color="000000" w:sz="8" w:space="0"/>
            </w:tcBorders>
            <w:tcMar>
              <w:left w:w="108" w:type="dxa"/>
              <w:top w:w="0" w:type="dxa"/>
              <w:right w:w="108" w:type="dxa"/>
              <w:bottom w:w="0" w:type="dxa"/>
            </w:tcMar>
            <w:tcW w:w="21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bê tông</w:t>
            </w:r>
            <w:r/>
          </w:p>
        </w:tc>
        <w:tc>
          <w:tcPr>
            <w:tcBorders>
              <w:bottom w:val="single" w:color="000000" w:sz="8" w:space="0"/>
              <w:right w:val="single" w:color="000000" w:sz="8" w:space="0"/>
            </w:tcBorders>
            <w:tcMar>
              <w:left w:w="108" w:type="dxa"/>
              <w:top w:w="0" w:type="dxa"/>
              <w:right w:w="108" w:type="dxa"/>
              <w:bottom w:w="0" w:type="dxa"/>
            </w:tcMar>
            <w:tcW w:w="20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bê tông</w:t>
            </w:r>
            <w:r/>
          </w:p>
        </w:tc>
        <w:tc>
          <w:tcPr>
            <w:tcBorders>
              <w:bottom w:val="single" w:color="000000" w:sz="8" w:space="0"/>
              <w:right w:val="single" w:color="000000" w:sz="8" w:space="0"/>
            </w:tcBorders>
            <w:tcMar>
              <w:left w:w="108" w:type="dxa"/>
              <w:top w:w="0" w:type="dxa"/>
              <w:right w:w="108" w:type="dxa"/>
              <w:bottom w:w="0" w:type="dxa"/>
            </w:tcMar>
            <w:tcW w:w="23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bê tông</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41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9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Độ rộng đường trước tài sản (m)</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21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4,5</w:t>
            </w:r>
            <w:r/>
          </w:p>
        </w:tc>
        <w:tc>
          <w:tcPr>
            <w:tcBorders>
              <w:bottom w:val="single" w:color="000000" w:sz="8" w:space="0"/>
              <w:right w:val="single" w:color="000000" w:sz="8" w:space="0"/>
            </w:tcBorders>
            <w:tcMar>
              <w:left w:w="108" w:type="dxa"/>
              <w:top w:w="0" w:type="dxa"/>
              <w:right w:w="108" w:type="dxa"/>
              <w:bottom w:w="0" w:type="dxa"/>
            </w:tcMar>
            <w:tcW w:w="20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23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41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9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188,3</w:t>
            </w:r>
            <w:r/>
          </w:p>
        </w:tc>
        <w:tc>
          <w:tcPr>
            <w:tcBorders>
              <w:bottom w:val="single" w:color="000000" w:sz="8" w:space="0"/>
              <w:right w:val="single" w:color="000000" w:sz="8" w:space="0"/>
            </w:tcBorders>
            <w:tcMar>
              <w:left w:w="108" w:type="dxa"/>
              <w:top w:w="0" w:type="dxa"/>
              <w:right w:w="108" w:type="dxa"/>
              <w:bottom w:w="0" w:type="dxa"/>
            </w:tcMar>
            <w:tcW w:w="21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110,8</w:t>
            </w:r>
            <w:r/>
          </w:p>
        </w:tc>
        <w:tc>
          <w:tcPr>
            <w:tcBorders>
              <w:bottom w:val="single" w:color="000000" w:sz="8" w:space="0"/>
              <w:right w:val="single" w:color="000000" w:sz="8" w:space="0"/>
            </w:tcBorders>
            <w:tcMar>
              <w:left w:w="108" w:type="dxa"/>
              <w:top w:w="0" w:type="dxa"/>
              <w:right w:w="108" w:type="dxa"/>
              <w:bottom w:w="0" w:type="dxa"/>
            </w:tcMar>
            <w:tcW w:w="20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127,5</w:t>
            </w:r>
            <w:r/>
          </w:p>
        </w:tc>
        <w:tc>
          <w:tcPr>
            <w:tcBorders>
              <w:bottom w:val="single" w:color="000000" w:sz="8" w:space="0"/>
              <w:right w:val="single" w:color="000000" w:sz="8" w:space="0"/>
            </w:tcBorders>
            <w:tcMar>
              <w:left w:w="108" w:type="dxa"/>
              <w:top w:w="0" w:type="dxa"/>
              <w:right w:w="108" w:type="dxa"/>
              <w:bottom w:w="0" w:type="dxa"/>
            </w:tcMar>
            <w:tcW w:w="23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109,2</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41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9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8,63</w:t>
            </w:r>
            <w:r/>
          </w:p>
        </w:tc>
        <w:tc>
          <w:tcPr>
            <w:tcBorders>
              <w:bottom w:val="single" w:color="000000" w:sz="8" w:space="0"/>
              <w:right w:val="single" w:color="000000" w:sz="8" w:space="0"/>
            </w:tcBorders>
            <w:tcMar>
              <w:left w:w="108" w:type="dxa"/>
              <w:top w:w="0" w:type="dxa"/>
              <w:right w:w="108" w:type="dxa"/>
              <w:bottom w:w="0" w:type="dxa"/>
            </w:tcMar>
            <w:tcW w:w="21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5,31</w:t>
            </w:r>
            <w:r/>
          </w:p>
        </w:tc>
        <w:tc>
          <w:tcPr>
            <w:tcBorders>
              <w:bottom w:val="single" w:color="000000" w:sz="8" w:space="0"/>
              <w:right w:val="single" w:color="000000" w:sz="8" w:space="0"/>
            </w:tcBorders>
            <w:tcMar>
              <w:left w:w="108" w:type="dxa"/>
              <w:top w:w="0" w:type="dxa"/>
              <w:right w:w="108" w:type="dxa"/>
              <w:bottom w:w="0" w:type="dxa"/>
            </w:tcMar>
            <w:tcW w:w="20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23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41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9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Chiều sâu (m)</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21,54</w:t>
            </w:r>
            <w:r/>
          </w:p>
        </w:tc>
        <w:tc>
          <w:tcPr>
            <w:tcBorders>
              <w:bottom w:val="single" w:color="000000" w:sz="8" w:space="0"/>
              <w:right w:val="single" w:color="000000" w:sz="8" w:space="0"/>
            </w:tcBorders>
            <w:tcMar>
              <w:left w:w="108" w:type="dxa"/>
              <w:top w:w="0" w:type="dxa"/>
              <w:right w:w="108" w:type="dxa"/>
              <w:bottom w:w="0" w:type="dxa"/>
            </w:tcMar>
            <w:tcW w:w="21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20,87</w:t>
            </w:r>
            <w:r/>
          </w:p>
        </w:tc>
        <w:tc>
          <w:tcPr>
            <w:tcBorders>
              <w:bottom w:val="single" w:color="000000" w:sz="8" w:space="0"/>
              <w:right w:val="single" w:color="000000" w:sz="8" w:space="0"/>
            </w:tcBorders>
            <w:tcMar>
              <w:left w:w="108" w:type="dxa"/>
              <w:top w:w="0" w:type="dxa"/>
              <w:right w:w="108" w:type="dxa"/>
              <w:bottom w:w="0" w:type="dxa"/>
            </w:tcMar>
            <w:tcW w:w="20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25,5</w:t>
            </w:r>
            <w:r/>
          </w:p>
        </w:tc>
        <w:tc>
          <w:tcPr>
            <w:tcBorders>
              <w:bottom w:val="single" w:color="000000" w:sz="8" w:space="0"/>
              <w:right w:val="single" w:color="000000" w:sz="8" w:space="0"/>
            </w:tcBorders>
            <w:tcMar>
              <w:left w:w="108" w:type="dxa"/>
              <w:top w:w="0" w:type="dxa"/>
              <w:right w:w="108" w:type="dxa"/>
              <w:bottom w:w="0" w:type="dxa"/>
            </w:tcMar>
            <w:tcW w:w="23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21,84</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41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9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c>
          <w:tcPr>
            <w:tcBorders>
              <w:bottom w:val="single" w:color="000000" w:sz="8" w:space="0"/>
              <w:right w:val="single" w:color="000000" w:sz="8" w:space="0"/>
            </w:tcBorders>
            <w:tcMar>
              <w:left w:w="108" w:type="dxa"/>
              <w:top w:w="0" w:type="dxa"/>
              <w:right w:w="108" w:type="dxa"/>
              <w:bottom w:w="0" w:type="dxa"/>
            </w:tcMar>
            <w:tcW w:w="21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c>
          <w:tcPr>
            <w:tcBorders>
              <w:bottom w:val="single" w:color="000000" w:sz="8" w:space="0"/>
              <w:right w:val="single" w:color="000000" w:sz="8" w:space="0"/>
            </w:tcBorders>
            <w:tcMar>
              <w:left w:w="108" w:type="dxa"/>
              <w:top w:w="0" w:type="dxa"/>
              <w:right w:w="108" w:type="dxa"/>
              <w:bottom w:w="0" w:type="dxa"/>
            </w:tcMar>
            <w:tcW w:w="20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2 mặt đường trước sau</w:t>
            </w:r>
            <w:r/>
          </w:p>
        </w:tc>
        <w:tc>
          <w:tcPr>
            <w:tcBorders>
              <w:bottom w:val="single" w:color="000000" w:sz="8" w:space="0"/>
              <w:right w:val="single" w:color="000000" w:sz="8" w:space="0"/>
            </w:tcBorders>
            <w:tcMar>
              <w:left w:w="108" w:type="dxa"/>
              <w:top w:w="0" w:type="dxa"/>
              <w:right w:w="108" w:type="dxa"/>
              <w:bottom w:w="0" w:type="dxa"/>
            </w:tcMar>
            <w:tcW w:w="23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41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9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đối vuông vức</w:t>
            </w:r>
            <w:r/>
          </w:p>
        </w:tc>
        <w:tc>
          <w:tcPr>
            <w:tcBorders>
              <w:bottom w:val="single" w:color="000000" w:sz="8" w:space="0"/>
              <w:right w:val="single" w:color="000000" w:sz="8" w:space="0"/>
            </w:tcBorders>
            <w:tcMar>
              <w:left w:w="108" w:type="dxa"/>
              <w:top w:w="0" w:type="dxa"/>
              <w:right w:w="108" w:type="dxa"/>
              <w:bottom w:w="0" w:type="dxa"/>
            </w:tcMar>
            <w:tcW w:w="21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đối vuông vức</w:t>
            </w:r>
            <w:r/>
          </w:p>
        </w:tc>
        <w:tc>
          <w:tcPr>
            <w:tcBorders>
              <w:bottom w:val="single" w:color="000000" w:sz="8" w:space="0"/>
              <w:right w:val="single" w:color="000000" w:sz="8" w:space="0"/>
            </w:tcBorders>
            <w:tcMar>
              <w:left w:w="108" w:type="dxa"/>
              <w:top w:w="0" w:type="dxa"/>
              <w:right w:w="108" w:type="dxa"/>
              <w:bottom w:w="0" w:type="dxa"/>
            </w:tcMar>
            <w:tcW w:w="20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c>
          <w:tcPr>
            <w:tcBorders>
              <w:bottom w:val="single" w:color="000000" w:sz="8" w:space="0"/>
              <w:right w:val="single" w:color="000000" w:sz="8" w:space="0"/>
            </w:tcBorders>
            <w:tcMar>
              <w:left w:w="108" w:type="dxa"/>
              <w:top w:w="0" w:type="dxa"/>
              <w:right w:w="108" w:type="dxa"/>
              <w:bottom w:w="0" w:type="dxa"/>
            </w:tcMar>
            <w:tcW w:w="23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đối vuông vức</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41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9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1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c>
          <w:tcPr>
            <w:tcBorders>
              <w:bottom w:val="single" w:color="000000" w:sz="8" w:space="0"/>
              <w:right w:val="single" w:color="000000" w:sz="8" w:space="0"/>
            </w:tcBorders>
            <w:tcMar>
              <w:left w:w="108" w:type="dxa"/>
              <w:top w:w="0" w:type="dxa"/>
              <w:right w:w="108" w:type="dxa"/>
              <w:bottom w:w="0" w:type="dxa"/>
            </w:tcMar>
            <w:tcW w:w="20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c>
          <w:tcPr>
            <w:tcBorders>
              <w:bottom w:val="single" w:color="000000" w:sz="8" w:space="0"/>
              <w:right w:val="single" w:color="000000" w:sz="8" w:space="0"/>
            </w:tcBorders>
            <w:tcMar>
              <w:left w:w="108" w:type="dxa"/>
              <w:top w:w="0" w:type="dxa"/>
              <w:right w:w="108" w:type="dxa"/>
              <w:bottom w:w="0" w:type="dxa"/>
            </w:tcMar>
            <w:tcW w:w="23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41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9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1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3.878.000.000</w:t>
            </w:r>
            <w:r/>
          </w:p>
        </w:tc>
        <w:tc>
          <w:tcPr>
            <w:tcBorders>
              <w:bottom w:val="single" w:color="000000" w:sz="8" w:space="0"/>
              <w:right w:val="single" w:color="000000" w:sz="8" w:space="0"/>
            </w:tcBorders>
            <w:tcMar>
              <w:left w:w="108" w:type="dxa"/>
              <w:top w:w="0" w:type="dxa"/>
              <w:right w:w="108" w:type="dxa"/>
              <w:bottom w:w="0" w:type="dxa"/>
            </w:tcMar>
            <w:tcW w:w="20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5.100.000.000</w:t>
            </w:r>
            <w:r/>
          </w:p>
        </w:tc>
        <w:tc>
          <w:tcPr>
            <w:tcBorders>
              <w:bottom w:val="single" w:color="000000" w:sz="8" w:space="0"/>
              <w:right w:val="single" w:color="000000" w:sz="8" w:space="0"/>
            </w:tcBorders>
            <w:tcMar>
              <w:left w:w="108" w:type="dxa"/>
              <w:top w:w="0" w:type="dxa"/>
              <w:right w:w="108" w:type="dxa"/>
              <w:bottom w:w="0" w:type="dxa"/>
            </w:tcMar>
            <w:tcW w:w="23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3.721.800.000</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41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9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1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3.684.100.000</w:t>
            </w:r>
            <w:r/>
          </w:p>
        </w:tc>
        <w:tc>
          <w:tcPr>
            <w:tcBorders>
              <w:bottom w:val="single" w:color="000000" w:sz="8" w:space="0"/>
              <w:right w:val="single" w:color="000000" w:sz="8" w:space="0"/>
            </w:tcBorders>
            <w:tcMar>
              <w:left w:w="108" w:type="dxa"/>
              <w:top w:w="0" w:type="dxa"/>
              <w:right w:w="108" w:type="dxa"/>
              <w:bottom w:w="0" w:type="dxa"/>
            </w:tcMar>
            <w:tcW w:w="20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4.845.000.000</w:t>
            </w:r>
            <w:r/>
          </w:p>
        </w:tc>
        <w:tc>
          <w:tcPr>
            <w:tcBorders>
              <w:bottom w:val="single" w:color="000000" w:sz="8" w:space="0"/>
              <w:right w:val="single" w:color="000000" w:sz="8" w:space="0"/>
            </w:tcBorders>
            <w:tcMar>
              <w:left w:w="108" w:type="dxa"/>
              <w:top w:w="0" w:type="dxa"/>
              <w:right w:w="108" w:type="dxa"/>
              <w:bottom w:w="0" w:type="dxa"/>
            </w:tcMar>
            <w:tcW w:w="23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3.535.710.000</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41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9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Chi tiết tính toán</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1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0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3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41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9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tài sản trên đất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1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20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23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1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9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đất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1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3.684.100.000</w:t>
            </w:r>
            <w:r/>
          </w:p>
        </w:tc>
        <w:tc>
          <w:tcPr>
            <w:tcBorders>
              <w:bottom w:val="single" w:color="000000" w:sz="8" w:space="0"/>
              <w:right w:val="single" w:color="000000" w:sz="8" w:space="0"/>
            </w:tcBorders>
            <w:tcMar>
              <w:left w:w="108" w:type="dxa"/>
              <w:top w:w="0" w:type="dxa"/>
              <w:right w:w="108" w:type="dxa"/>
              <w:bottom w:w="0" w:type="dxa"/>
            </w:tcMar>
            <w:tcW w:w="20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4.845.000.000</w:t>
            </w:r>
            <w:r/>
          </w:p>
        </w:tc>
        <w:tc>
          <w:tcPr>
            <w:tcBorders>
              <w:bottom w:val="single" w:color="000000" w:sz="8" w:space="0"/>
              <w:right w:val="single" w:color="000000" w:sz="8" w:space="0"/>
            </w:tcBorders>
            <w:tcMar>
              <w:left w:w="108" w:type="dxa"/>
              <w:top w:w="0" w:type="dxa"/>
              <w:right w:w="108" w:type="dxa"/>
              <w:bottom w:w="0" w:type="dxa"/>
            </w:tcMar>
            <w:tcW w:w="23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3.535.710.000</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41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9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Đơn giá QSDĐ (đồng/m²)</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10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33.250.000</w:t>
            </w:r>
            <w:r/>
          </w:p>
        </w:tc>
        <w:tc>
          <w:tcPr>
            <w:tcBorders>
              <w:bottom w:val="single" w:color="000000" w:sz="8" w:space="0"/>
              <w:right w:val="single" w:color="000000" w:sz="8" w:space="0"/>
            </w:tcBorders>
            <w:tcMar>
              <w:left w:w="108" w:type="dxa"/>
              <w:top w:w="0" w:type="dxa"/>
              <w:right w:w="108" w:type="dxa"/>
              <w:bottom w:w="0" w:type="dxa"/>
            </w:tcMar>
            <w:tcW w:w="200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38.000.000</w:t>
            </w:r>
            <w:r/>
          </w:p>
        </w:tc>
        <w:tc>
          <w:tcPr>
            <w:tcBorders>
              <w:bottom w:val="single" w:color="000000" w:sz="8" w:space="0"/>
              <w:right w:val="single" w:color="000000" w:sz="8" w:space="0"/>
            </w:tcBorders>
            <w:tcMar>
              <w:left w:w="108" w:type="dxa"/>
              <w:top w:w="0" w:type="dxa"/>
              <w:right w:w="108" w:type="dxa"/>
              <w:bottom w:w="0" w:type="dxa"/>
            </w:tcMar>
            <w:tcW w:w="237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32.378.297</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1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w:t>
            </w:r>
            <w:r/>
          </w:p>
        </w:tc>
        <w:tc>
          <w:tcPr>
            <w:tcBorders>
              <w:bottom w:val="single" w:color="000000" w:sz="8" w:space="0"/>
              <w:right w:val="single" w:color="000000" w:sz="8" w:space="0"/>
            </w:tcBorders>
            <w:tcMar>
              <w:left w:w="108" w:type="dxa"/>
              <w:top w:w="0" w:type="dxa"/>
              <w:right w:w="108" w:type="dxa"/>
              <w:bottom w:w="0" w:type="dxa"/>
            </w:tcMar>
            <w:tcW w:w="9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NHẬN XÉT</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1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0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3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1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9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1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20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23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1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9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1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20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23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1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9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1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20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23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1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9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1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20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23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1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9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1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20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23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1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9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Độ rộng đường trước tài sản (m)</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1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20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23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1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9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1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20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23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1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9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1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20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23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1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9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Chiều sâu (m)</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1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20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23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1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9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1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20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23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1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9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1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20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23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bl>
    <w:p>
      <w:pPr>
        <w:pBdr/>
        <w:tabs>
          <w:tab w:val="left" w:leader="none" w:pos="90"/>
          <w:tab w:val="left" w:leader="none" w:pos="180"/>
        </w:tabs>
        <w:spacing w:after="120" w:before="120" w:line="264" w:lineRule="auto"/>
        <w:ind/>
        <w:jc w:val="both"/>
        <w:rPr>
          <w:b/>
          <w:lang w:val="de-DE"/>
        </w:rPr>
      </w:pP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32"/>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Style w:val="103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32"/>
        <w:gridCol w:w="1765"/>
        <w:gridCol w:w="1030"/>
        <w:gridCol w:w="1522"/>
        <w:gridCol w:w="1522"/>
        <w:gridCol w:w="1522"/>
        <w:gridCol w:w="1522"/>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3.684.100.000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4.845.000.000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3.535.710.000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33.250.000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38.000.000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32.378.297</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33.250.000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38.000.000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32.378.297</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Mục đích sử dụng, tỷ lệ đất ở/tổng diện tích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nông thôn (60 m²), Đất trồng cây lâu năm (128.3 m²) 32%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nông thôn (66,6m2) ,Đất trồng cây lâu năm (44,2m2)</w:t>
              <w:br/>
              <w:t xml:space="preserve"> 60%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nông thôn (60m2), Đất trồng cây lâu năm (67,5m2)</w:t>
              <w:br/>
              <w:t xml:space="preserve"> 47%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nông thôn (60m2), Đất trồng cây lâu năm (49,2m2)</w:t>
              <w:br/>
              <w:t xml:space="preserve"> 55%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-3.657.500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-3.040.000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-2.914.047</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29.592.500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34.960.000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29.464.250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Thời hạn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lâu dài</w:t>
              <w:br/>
              <w:t xml:space="preserve"> CLN: có thời hạn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lâu dài</w:t>
              <w:br/>
              <w:t xml:space="preserve"> CLN: có thời hạn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lâu dài</w:t>
              <w:br/>
              <w:t xml:space="preserve"> CLN: có thời hạn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lâu dài</w:t>
              <w:br/>
              <w:t xml:space="preserve"> CLN: có thời hạn</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29.592.500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34.960.000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29.464.250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Xã Hòa Lạc, Thành phố Hà Nội, VT4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Xã Hòa Lạc, Thành phố Hà Nội, VT3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Xã Hòa Lạc, Thành phố Hà Nội, VT3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Xã Hòa Lạc, Thành phố Hà Nội, VT3</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-1.662.500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-1.618.915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27.930.000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33.060.000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27.845.335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Giao thông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bê tông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bê tông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bê tông</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-1.662.500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-1.618.915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26.267.500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31.160.000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26.226.420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Độ rộng đường trước tài sản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-2.660.000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-1.618.915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23.607.500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29.260.000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24.607.505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Diện tích đất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(m2)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188,3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110,8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127,5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109,2</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-3.325.000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-3.800.000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-3.237.830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20.282.500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25.460.000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21.369.675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8,63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5,31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3.325.000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3.800.000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3.237.830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23.607.500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29.260.000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24.607.505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Chiều sâu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21,54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20,87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21,84</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23.607.500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29.260.000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24.607.505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2 mặt đường trước sau</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23.607.500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27.360.000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24.607.505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đối 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đối 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đối vuông vức</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23.607.500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25.460.000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24.607.505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23.607.500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25.460.000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24.607.505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45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24.558.335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-3,87%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0,2%</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16.292.500</w:t>
            </w: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20.140.000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14.246.452</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- 11%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- 10%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- 10%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9.642.500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12.540.000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7.770.792</w:t>
            </w: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-3.87</w:t>
      </w:r>
      <w:r>
        <w:t xml:space="preserve">%</w:t>
      </w:r>
      <w:r>
        <w:t xml:space="preserve"> </w:t>
      </w:r>
      <w:r>
        <w:t xml:space="preserve">đến</w:t>
      </w:r>
      <w:r>
        <w:t xml:space="preserve"> </w:t>
      </w:r>
      <w:r>
        <w:t xml:space="preserve">3.67</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after="120" w:before="120" w:line="276" w:lineRule="auto"/>
        <w:ind/>
        <w:rPr>
          <w:b/>
          <w:bCs/>
          <w:i/>
          <w:iCs/>
          <w:u w:val="single"/>
        </w:rPr>
      </w:pPr>
      <w:r>
        <w:rPr>
          <w:b/>
          <w:bCs/>
          <w:i/>
          <w:iCs/>
          <w:u w:val="single"/>
        </w:rPr>
      </w:r>
      <w:r>
        <w:rPr>
          <w:b/>
          <w:bCs/>
          <w:i/>
          <w:iCs/>
          <w:u w:val="single"/>
        </w:rPr>
      </w:r>
      <w:r>
        <w:rPr>
          <w:b/>
          <w:bCs/>
          <w:i/>
          <w:iCs/>
          <w:u w:val="single"/>
        </w:rPr>
      </w:r>
    </w:p>
    <w:p>
      <w:pPr>
        <w:pBdr/>
        <w:spacing w:after="120" w:before="120" w:line="276" w:lineRule="auto"/>
        <w:ind/>
        <w:rPr>
          <w:b/>
          <w:bCs/>
          <w:i/>
          <w:iCs/>
          <w:u w:val="single"/>
        </w:rPr>
      </w:pPr>
      <w:r>
        <w:rPr>
          <w:b/>
          <w:bCs/>
          <w:i/>
          <w:iCs/>
          <w:u w:val="single"/>
        </w:rPr>
      </w:r>
      <w:r>
        <w:rPr>
          <w:b/>
          <w:bCs/>
          <w:i/>
          <w:iCs/>
          <w:u w:val="single"/>
        </w:rPr>
      </w:r>
      <w:r>
        <w:rPr>
          <w:b/>
          <w:bCs/>
          <w:i/>
          <w:iCs/>
          <w:u w:val="single"/>
        </w:rPr>
      </w:r>
    </w:p>
    <w:p>
      <w:pPr>
        <w:pBdr/>
        <w:spacing w:after="120" w:before="120" w:line="276" w:lineRule="auto"/>
        <w:ind/>
        <w:rPr>
          <w:b/>
          <w:bCs/>
          <w:i/>
          <w:iCs/>
          <w:u w:val="single"/>
        </w:rPr>
      </w:pPr>
      <w:r>
        <w:rPr>
          <w:b/>
          <w:bCs/>
          <w:i/>
          <w:iCs/>
          <w:u w:val="single"/>
        </w:rPr>
      </w:r>
      <w:r>
        <w:rPr>
          <w:b/>
          <w:bCs/>
          <w:i/>
          <w:iCs/>
          <w:u w:val="single"/>
        </w:rPr>
      </w:r>
      <w:r>
        <w:rPr>
          <w:b/>
          <w:bCs/>
          <w:i/>
          <w:iCs/>
          <w:u w:val="single"/>
        </w:rPr>
      </w:r>
    </w:p>
    <w:tbl>
      <w:tblPr>
        <w:tblW w:w="5000" w:type="pct"/>
        <w:tblBorders/>
        <w:tblLook w:val="04A0" w:firstRow="1" w:lastRow="0" w:firstColumn="1" w:lastColumn="0" w:noHBand="0" w:noVBand="1"/>
      </w:tblPr>
      <w:tblGrid>
        <w:gridCol w:w="537"/>
        <w:gridCol w:w="1519"/>
        <w:gridCol w:w="2406"/>
        <w:gridCol w:w="2527"/>
        <w:gridCol w:w="2752"/>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themeColor="text1"/>
              </w:rPr>
              <w:t xml:space="preserve">23.607.500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themeColor="text1"/>
              </w:rPr>
              <w:t xml:space="preserve">33.34%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themeColor="text1"/>
              </w:rPr>
              <w:t xml:space="preserve">7.870.741</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themeColor="text1"/>
              </w:rPr>
              <w:t xml:space="preserve">25.460.000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themeColor="text1"/>
              </w:rPr>
              <w:t xml:space="preserve">33.33%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themeColor="text1"/>
              </w:rPr>
              <w:t xml:space="preserve">8.485.818</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themeColor="text1"/>
              </w:rPr>
              <w:t xml:space="preserve">24.607.505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themeColor="text1"/>
              </w:rPr>
              <w:t xml:space="preserve">33.33%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themeColor="text1"/>
              </w:rPr>
              <w:t xml:space="preserve">8.201.681</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rPr>
              <w:t xml:space="preserve">24.558.240</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rPr>
              <w:t xml:space="preserve">25.000.000</w:t>
            </w:r>
            <w:r>
              <w:rPr>
                <w:b/>
                <w:bCs/>
                <w:color w:val="000000"/>
              </w:rPr>
            </w:r>
            <w:r>
              <w:rPr>
                <w:b/>
                <w:bCs/>
                <w:color w:val="000000"/>
              </w:rPr>
            </w:r>
          </w:p>
        </w:tc>
      </w:tr>
    </w:tbl>
    <w:p>
      <w:pPr>
        <w:pBdr/>
        <w:spacing w:after="120" w:before="120" w:line="276" w:lineRule="auto"/>
        <w:ind/>
        <w:rPr>
          <w:b/>
          <w:bCs/>
          <w:i/>
          <w:iCs/>
          <w:u w:val="single"/>
        </w:rPr>
      </w:pPr>
      <w:r>
        <w:rPr>
          <w:b/>
          <w:bCs/>
          <w:i/>
          <w:iCs/>
          <w:u w:val="single"/>
        </w:rPr>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p>
      <w:pPr>
        <w:pBdr/>
        <w:spacing w:after="120" w:before="120" w:line="276" w:lineRule="auto"/>
        <w:ind/>
        <w:jc w:val="both"/>
        <w:rPr>
          <w:b/>
          <w:bCs/>
        </w:rPr>
      </w:pPr>
      <w:r>
        <w:t xml:space="preserve"> </w:t>
      </w: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giá</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rPr>
        <w:t xml:space="preserve">25.000.000</w:t>
      </w:r>
      <w:r>
        <w:rPr>
          <w:b/>
          <w:bCs/>
          <w:color w:val="000000" w:themeColor="text1"/>
        </w:rPr>
        <w:t xml:space="preserve"> </w:t>
      </w:r>
      <w:r>
        <w:rPr>
          <w:b/>
          <w:bCs/>
        </w:rPr>
        <w:t xml:space="preserve">đồng</w:t>
      </w:r>
      <w:r>
        <w:rPr>
          <w:b/>
          <w:bCs/>
        </w:rPr>
        <w:t xml:space="preserve">/m².</w:t>
      </w:r>
      <w:r>
        <w:rPr>
          <w:b/>
          <w:bCs/>
        </w:rPr>
      </w:r>
      <w:r>
        <w:rPr>
          <w:b/>
          <w:bCs/>
        </w:rPr>
      </w:r>
    </w:p>
    <w:p>
      <w:pPr>
        <w:pStyle w:val="1032"/>
        <w:numPr>
          <w:ilvl w:val="0"/>
          <w:numId w:val="39"/>
        </w:numPr>
        <w:pBdr/>
        <w:spacing w:after="120" w:before="120" w:line="276" w:lineRule="auto"/>
        <w:ind w:hanging="426" w:left="426"/>
        <w:jc w:val="both"/>
        <w:rPr>
          <w:b/>
          <w:bCs/>
        </w:rPr>
      </w:pPr>
      <w:r>
        <w:rPr>
          <w:b/>
          <w:i/>
          <w:iCs/>
          <w:lang w:val="pt-BR"/>
        </w:rPr>
        <w:t xml:space="preserve">Tài</w:t>
      </w:r>
      <w:r>
        <w:rPr>
          <w:b/>
          <w:i/>
          <w:iCs/>
          <w:lang w:val="pt-BR"/>
        </w:rPr>
        <w:t xml:space="preserve"> </w:t>
      </w:r>
      <w:r>
        <w:rPr>
          <w:b/>
          <w:i/>
          <w:iCs/>
          <w:lang w:val="pt-BR"/>
        </w:rPr>
        <w:t xml:space="preserve">sản</w:t>
      </w:r>
      <w:r>
        <w:rPr>
          <w:b/>
          <w:i/>
          <w:iCs/>
          <w:lang w:val="pt-BR"/>
        </w:rPr>
        <w:t xml:space="preserve"> 02:</w:t>
      </w:r>
      <w:r>
        <w:rPr>
          <w:b/>
          <w:bCs/>
        </w:rPr>
      </w:r>
      <w:r>
        <w:rPr>
          <w:b/>
          <w:bCs/>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Do 2 thửa đất số 204 và thửa đất số 205 thẩm định nằm cạnh nhau có diện tích, kích thước mặt tiền và các yếu tố về kinh tế, kỹ thuật của 2 thửa đất là tương tự nhau nên tổ thẩm định xác định đơn giá thửa đất số 205 = đơn giá thửa đất số 204 là: 24.500.000 </w:t>
      </w:r>
      <w:r>
        <w:rPr>
          <w:rFonts w:ascii="Times New Roman" w:hAnsi="Times New Roman" w:eastAsia="Times New Roman" w:cs="Times New Roman"/>
          <w:color w:val="000000"/>
          <w:sz w:val="24"/>
        </w:rPr>
        <w:t xml:space="preserve">đồng/m².</w:t>
      </w:r>
      <w:r>
        <w:rPr>
          <w:rFonts w:ascii="Times New Roman" w:hAnsi="Times New Roman" w:eastAsia="Times New Roman" w:cs="Times New Roman"/>
          <w:sz w:val="24"/>
        </w:rPr>
      </w:r>
      <w:r/>
    </w:p>
    <w:p>
      <w:pPr>
        <w:pStyle w:val="1032"/>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2"/>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color w:val="000000" w:themeColor="text1"/>
          <w:lang w:val="pt-BR"/>
        </w:rP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Style w:val="1036"/>
        <w:tblInd w:w="113"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04"/>
        <w:gridCol w:w="4038"/>
        <w:gridCol w:w="1530"/>
        <w:gridCol w:w="1440"/>
        <w:gridCol w:w="1668"/>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40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01</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70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204, tờ bản đồ số: 38, có địa chỉ: Thôn Hòa Lạc, xã Bình Yên, huyện Thạch Thất, thành phố Hà Nội (nay là thôn Hòa Lạc, xã Hòa Lạc, thành phố Hà Nội) theo Giấy chứng nhận quyền sử dụng đất, quyền sở hữu nhà ở và tài sản kh</w:t>
            </w:r>
            <w:r>
              <w:rPr>
                <w:rFonts w:ascii="Times New Roman" w:hAnsi="Times New Roman" w:eastAsia="Times New Roman" w:cs="Times New Roman"/>
                <w:b/>
                <w:color w:val="000000"/>
                <w:sz w:val="24"/>
              </w:rPr>
              <w:t xml:space="preserve">ác gắn liền với đất số: DL 206763, Số vào sổ cấp GCN: CN 00137 do Chi nhánh Văn phòng Đăng ký Đất đai Hà Nội - Huyện Thạch Thất cấp ngày 15/7/2023; chủ sử dụng đất là Ông Giang Văn Thăng và Bà Lê Thị Hà.</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right"/>
              <w:rPr/>
            </w:pPr>
            <w:r>
              <w:rPr>
                <w:rFonts w:ascii="Times New Roman" w:hAnsi="Times New Roman" w:eastAsia="Times New Roman" w:cs="Times New Roman"/>
                <w:b/>
                <w:color w:val="000000"/>
                <w:sz w:val="24"/>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0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rPr/>
            </w:pPr>
            <w:r>
              <w:rPr>
                <w:rFonts w:ascii="Times New Roman" w:hAnsi="Times New Roman" w:eastAsia="Times New Roman" w:cs="Times New Roman"/>
                <w:color w:val="000000"/>
                <w:sz w:val="24"/>
              </w:rPr>
              <w:t xml:space="preserve">Đất ở nông thôn (60m2), đất trồng cây lâu năm (128,3m2)</w:t>
            </w:r>
            <w:r/>
          </w:p>
        </w:tc>
        <w:tc>
          <w:tcPr>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188,3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24.500.00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right"/>
              <w:rPr/>
            </w:pPr>
            <w:r>
              <w:rPr>
                <w:rFonts w:ascii="Times New Roman" w:hAnsi="Times New Roman" w:eastAsia="Times New Roman" w:cs="Times New Roman"/>
                <w:color w:val="000000"/>
                <w:sz w:val="24"/>
              </w:rPr>
              <w:t xml:space="preserve">4.613.350.000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02</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70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205, tờ bản đồ số: 38, có địa chỉ: Thôn Hòa Lạc, xã Bình Yên, huyện Thạch Thất, thành phố Hà Nội (nay là thôn Hòa Lạc, xã Hòa Lạc, thành phố Hà Nội) theo Giấy chứng nhận quyền sử dụng đất, quyền sở hữu nhà ở và tài sản kh</w:t>
            </w:r>
            <w:r>
              <w:rPr>
                <w:rFonts w:ascii="Times New Roman" w:hAnsi="Times New Roman" w:eastAsia="Times New Roman" w:cs="Times New Roman"/>
                <w:b/>
                <w:color w:val="000000"/>
                <w:sz w:val="24"/>
              </w:rPr>
              <w:t xml:space="preserve">ác gắn liền với đất số: DL 206764, Số vào sổ cấp GCN: CN 00138 do Chi nhánh Văn phòng Đăng ký Đất đai Hà Nội - Huyện Thạch Thất cấp ngày 15/7/2023; chủ sử dụng đất là Ông Giang Văn Thăng và Bà Lê Thị Hà. </w:t>
              <w:tab/>
              <w:tab/>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right"/>
              <w:rPr/>
            </w:pPr>
            <w:r>
              <w:rPr>
                <w:rFonts w:ascii="Times New Roman" w:hAnsi="Times New Roman" w:eastAsia="Times New Roman" w:cs="Times New Roman"/>
                <w:b/>
                <w:color w:val="000000"/>
                <w:sz w:val="24"/>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0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rPr/>
            </w:pPr>
            <w:r>
              <w:rPr>
                <w:rFonts w:ascii="Times New Roman" w:hAnsi="Times New Roman" w:eastAsia="Times New Roman" w:cs="Times New Roman"/>
                <w:color w:val="000000"/>
                <w:sz w:val="24"/>
              </w:rPr>
              <w:t xml:space="preserve">Đất ở nông thôn (60m2), Đất trồng cây lâu năm (126m2)</w:t>
            </w:r>
            <w:r/>
          </w:p>
        </w:tc>
        <w:tc>
          <w:tcPr>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186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24.500.000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right"/>
              <w:rPr/>
            </w:pPr>
            <w:r>
              <w:rPr>
                <w:rFonts w:ascii="Times New Roman" w:hAnsi="Times New Roman" w:eastAsia="Times New Roman" w:cs="Times New Roman"/>
                <w:color w:val="000000"/>
                <w:sz w:val="24"/>
              </w:rPr>
              <w:t xml:space="preserve">4.557.000.000</w:t>
            </w:r>
            <w:r/>
          </w:p>
        </w:tc>
      </w:tr>
      <w:tr>
        <w:trPr>
          <w:trHeight w:val="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712"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right"/>
              <w:rPr/>
            </w:pPr>
            <w:r>
              <w:rPr>
                <w:rFonts w:ascii="Times New Roman" w:hAnsi="Times New Roman" w:eastAsia="Times New Roman" w:cs="Times New Roman"/>
                <w:b/>
                <w:color w:val="000000"/>
                <w:sz w:val="24"/>
              </w:rPr>
              <w:t xml:space="preserve">9.170.350.000</w:t>
            </w:r>
            <w:r/>
          </w:p>
        </w:tc>
      </w:tr>
      <w:tr>
        <w:trPr>
          <w:trHeight w:val="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712"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right"/>
              <w:rPr/>
            </w:pPr>
            <w:r>
              <w:rPr>
                <w:rFonts w:ascii="Times New Roman" w:hAnsi="Times New Roman" w:eastAsia="Times New Roman" w:cs="Times New Roman"/>
                <w:b/>
                <w:color w:val="000000"/>
                <w:sz w:val="24"/>
              </w:rPr>
              <w:t xml:space="preserve">9.170.400.000</w:t>
            </w:r>
            <w:r/>
          </w:p>
        </w:tc>
      </w:tr>
      <w:tr>
        <w:trPr>
          <w:trHeight w:val="20"/>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937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b/>
                <w:i/>
                <w:color w:val="000000"/>
                <w:sz w:val="24"/>
              </w:rPr>
              <w:t xml:space="preserve">(Bằng chữ:</w:t>
            </w:r>
            <w:r>
              <w:rPr>
                <w:rFonts w:ascii="Times New Roman" w:hAnsi="Times New Roman" w:eastAsia="Times New Roman" w:cs="Times New Roman"/>
                <w:b/>
                <w:color w:val="000000"/>
                <w:sz w:val="24"/>
              </w:rPr>
              <w:t xml:space="preserve"> </w:t>
            </w:r>
            <w:r>
              <w:rPr>
                <w:rFonts w:ascii="Times New Roman" w:hAnsi="Times New Roman" w:eastAsia="Times New Roman" w:cs="Times New Roman"/>
                <w:b/>
                <w:i/>
                <w:color w:val="000000"/>
                <w:sz w:val="24"/>
              </w:rPr>
              <w:t xml:space="preserve">Chín tỷ một trăm bảy mươi triệu bốn trăm nghìn đồng./.)</w:t>
            </w:r>
            <w:r/>
          </w:p>
        </w:tc>
      </w:tr>
    </w:tbl>
    <w:p>
      <w:pPr>
        <w:pStyle w:val="1032"/>
        <w:pBdr/>
        <w:tabs>
          <w:tab w:val="left" w:leader="none" w:pos="993"/>
        </w:tabs>
        <w:spacing w:after="120" w:before="120" w:line="305"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2"/>
        <w:numPr>
          <w:ilvl w:val="0"/>
          <w:numId w:val="4"/>
        </w:numPr>
        <w:pBdr/>
        <w:tabs>
          <w:tab w:val="left" w:leader="none" w:pos="993"/>
        </w:tabs>
        <w:spacing w:after="120" w:before="120" w:line="305"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32"/>
        <w:pBdr/>
        <w:tabs>
          <w:tab w:val="left" w:leader="none" w:pos="993"/>
        </w:tabs>
        <w:spacing w:after="120" w:before="120" w:line="305"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2"/>
        <w:numPr>
          <w:ilvl w:val="0"/>
          <w:numId w:val="5"/>
        </w:numPr>
        <w:pBdr/>
        <w:tabs>
          <w:tab w:val="left" w:leader="none" w:pos="993"/>
        </w:tabs>
        <w:spacing w:after="120" w:before="120" w:line="305"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32"/>
        <w:numPr>
          <w:ilvl w:val="0"/>
          <w:numId w:val="5"/>
        </w:numPr>
        <w:pBdr/>
        <w:tabs>
          <w:tab w:val="left" w:leader="none" w:pos="993"/>
        </w:tabs>
        <w:spacing w:after="120" w:before="120" w:line="305"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32"/>
        <w:numPr>
          <w:ilvl w:val="0"/>
          <w:numId w:val="5"/>
        </w:numPr>
        <w:pBdr/>
        <w:tabs>
          <w:tab w:val="left" w:leader="none" w:pos="993"/>
        </w:tabs>
        <w:spacing w:after="120" w:before="120" w:line="305"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2"/>
        <w:numPr>
          <w:ilvl w:val="0"/>
          <w:numId w:val="5"/>
        </w:numPr>
        <w:pBdr/>
        <w:tabs>
          <w:tab w:val="left" w:leader="none" w:pos="993"/>
        </w:tabs>
        <w:spacing w:after="120" w:before="120" w:line="305"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32"/>
        <w:numPr>
          <w:ilvl w:val="0"/>
          <w:numId w:val="10"/>
        </w:numPr>
        <w:pBdr/>
        <w:spacing w:after="120" w:before="120" w:line="305"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2"/>
        <w:numPr>
          <w:ilvl w:val="0"/>
          <w:numId w:val="10"/>
        </w:numPr>
        <w:pBdr/>
        <w:spacing w:after="120" w:before="120" w:line="305"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2"/>
        <w:numPr>
          <w:ilvl w:val="0"/>
          <w:numId w:val="10"/>
        </w:numPr>
        <w:pBdr/>
        <w:spacing w:after="120" w:before="120" w:line="305"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32"/>
        <w:pBdr/>
        <w:tabs>
          <w:tab w:val="left" w:leader="none" w:pos="993"/>
        </w:tabs>
        <w:spacing w:after="120" w:before="120" w:line="305"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2"/>
        <w:numPr>
          <w:ilvl w:val="0"/>
          <w:numId w:val="5"/>
        </w:numPr>
        <w:pBdr/>
        <w:tabs>
          <w:tab w:val="left" w:leader="none" w:pos="993"/>
        </w:tabs>
        <w:spacing w:after="120" w:before="120" w:line="305"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32"/>
        <w:numPr>
          <w:ilvl w:val="0"/>
          <w:numId w:val="5"/>
        </w:numPr>
        <w:pBdr/>
        <w:tabs>
          <w:tab w:val="left" w:leader="none" w:pos="993"/>
        </w:tabs>
        <w:spacing w:after="120" w:before="120" w:line="305"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32"/>
        <w:numPr>
          <w:ilvl w:val="0"/>
          <w:numId w:val="5"/>
        </w:numPr>
        <w:pBdr/>
        <w:tabs>
          <w:tab w:val="left" w:leader="none" w:pos="993"/>
        </w:tabs>
        <w:spacing w:after="120" w:before="120" w:line="305"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32"/>
        <w:numPr>
          <w:ilvl w:val="0"/>
          <w:numId w:val="5"/>
        </w:numPr>
        <w:pBdr/>
        <w:tabs>
          <w:tab w:val="left" w:leader="none" w:pos="993"/>
        </w:tabs>
        <w:spacing w:after="120" w:before="120" w:line="305"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32"/>
        <w:numPr>
          <w:ilvl w:val="0"/>
          <w:numId w:val="5"/>
        </w:numPr>
        <w:pBdr/>
        <w:tabs>
          <w:tab w:val="left" w:leader="none" w:pos="993"/>
        </w:tabs>
        <w:spacing w:after="120" w:before="120" w:line="305"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32"/>
        <w:numPr>
          <w:ilvl w:val="0"/>
          <w:numId w:val="5"/>
        </w:numPr>
        <w:pBdr/>
        <w:tabs>
          <w:tab w:val="left" w:leader="none" w:pos="993"/>
        </w:tabs>
        <w:spacing w:after="120" w:before="120" w:line="305"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32"/>
        <w:numPr>
          <w:ilvl w:val="0"/>
          <w:numId w:val="5"/>
        </w:numPr>
        <w:pBdr/>
        <w:spacing w:after="120" w:before="120" w:line="305"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32"/>
        <w:numPr>
          <w:ilvl w:val="0"/>
          <w:numId w:val="5"/>
        </w:numPr>
        <w:pBdr/>
        <w:tabs>
          <w:tab w:val="left" w:leader="none" w:pos="993"/>
        </w:tabs>
        <w:spacing w:after="120" w:before="120" w:line="305"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32"/>
        <w:numPr>
          <w:ilvl w:val="0"/>
          <w:numId w:val="5"/>
        </w:numPr>
        <w:pBdr/>
        <w:tabs>
          <w:tab w:val="left" w:leader="none" w:pos="993"/>
        </w:tabs>
        <w:spacing w:after="120" w:before="120" w:line="305" w:lineRule="auto"/>
        <w:ind/>
        <w:jc w:val="both"/>
        <w:rPr>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lang w:val="pt-BR"/>
        </w:rPr>
        <w:t xml:space="preserve">dịch</w:t>
      </w:r>
      <w:r>
        <w:rPr>
          <w:lang w:val="pt-BR"/>
        </w:rPr>
        <w:t xml:space="preserve"> </w:t>
      </w:r>
      <w:r>
        <w:rPr>
          <w:lang w:val="pt-BR"/>
        </w:rPr>
        <w:t xml:space="preserve">vụ</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khác</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được</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liên</w:t>
      </w:r>
      <w:r>
        <w:rPr>
          <w:lang w:val="pt-BR"/>
        </w:rPr>
        <w:t xml:space="preserve"> </w:t>
      </w:r>
      <w:r>
        <w:rPr>
          <w:lang w:val="pt-BR"/>
        </w:rPr>
        <w:t xml:space="preserve">đới</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trong</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này</w:t>
      </w:r>
      <w:r>
        <w:rPr>
          <w:lang w:val="pt-BR"/>
        </w:rPr>
        <w:t xml:space="preserve">.</w:t>
      </w:r>
      <w:r>
        <w:rPr>
          <w:lang w:val="pt-BR"/>
        </w:rPr>
      </w:r>
      <w:r>
        <w:rPr>
          <w:lang w:val="pt-BR"/>
        </w:rPr>
      </w:r>
    </w:p>
    <w:p>
      <w:pPr>
        <w:pStyle w:val="1032"/>
        <w:pBdr/>
        <w:tabs>
          <w:tab w:val="left" w:leader="none" w:pos="993"/>
        </w:tabs>
        <w:spacing w:after="120" w:before="120" w:line="305" w:lineRule="auto"/>
        <w:ind w:left="360"/>
        <w:jc w:val="both"/>
        <w:rPr>
          <w:lang w:val="pt-BR"/>
        </w:rPr>
      </w:pP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cũng</w:t>
      </w:r>
      <w:r>
        <w:rPr>
          <w:lang w:val="pt-BR"/>
        </w:rPr>
        <w:t xml:space="preserve"> </w:t>
      </w:r>
      <w:r>
        <w:rPr>
          <w:lang w:val="pt-BR"/>
        </w:rPr>
        <w:t xml:space="preserve">không</w:t>
      </w:r>
      <w:r>
        <w:rPr>
          <w:lang w:val="pt-BR"/>
        </w:rPr>
        <w:t xml:space="preserve"> </w:t>
      </w:r>
      <w:r>
        <w:rPr>
          <w:lang w:val="pt-BR"/>
        </w:rPr>
        <w:t xml:space="preserve">nhận</w:t>
      </w:r>
      <w:r>
        <w:rPr>
          <w:lang w:val="pt-BR"/>
        </w:rPr>
        <w:t xml:space="preserve"> </w:t>
      </w:r>
      <w:r>
        <w:rPr>
          <w:lang w:val="pt-BR"/>
        </w:rPr>
        <w:t xml:space="preserve">được</w:t>
      </w:r>
      <w:r>
        <w:rPr>
          <w:lang w:val="pt-BR"/>
        </w:rPr>
        <w:t xml:space="preserve"> </w:t>
      </w:r>
      <w:r>
        <w:rPr>
          <w:lang w:val="pt-BR"/>
        </w:rPr>
        <w:t xml:space="preserve">bất</w:t>
      </w:r>
      <w:r>
        <w:rPr>
          <w:lang w:val="pt-BR"/>
        </w:rPr>
        <w:t xml:space="preserve"> </w:t>
      </w:r>
      <w:r>
        <w:rPr>
          <w:lang w:val="pt-BR"/>
        </w:rPr>
        <w:t xml:space="preserve">kì</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pháp</w:t>
      </w:r>
      <w:r>
        <w:rPr>
          <w:lang w:val="pt-BR"/>
        </w:rPr>
        <w:t xml:space="preserve"> </w:t>
      </w:r>
      <w:r>
        <w:rPr>
          <w:lang w:val="pt-BR"/>
        </w:rPr>
        <w:t xml:space="preserve">lí</w:t>
      </w:r>
      <w:r>
        <w:rPr>
          <w:lang w:val="pt-BR"/>
        </w:rPr>
        <w:t xml:space="preserve"> </w:t>
      </w:r>
      <w:r>
        <w:rPr>
          <w:lang w:val="pt-BR"/>
        </w:rPr>
        <w:t xml:space="preserve">nào</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tới</w:t>
      </w:r>
      <w:r>
        <w:rPr>
          <w:lang w:val="pt-BR"/>
        </w:rPr>
        <w:t xml:space="preserve"> </w:t>
      </w:r>
      <w:r>
        <w:rPr>
          <w:lang w:val="pt-BR"/>
        </w:rPr>
        <w:t xml:space="preserve">các</w:t>
      </w:r>
      <w:r>
        <w:rPr>
          <w:lang w:val="pt-BR"/>
        </w:rPr>
        <w:t xml:space="preserve"> </w:t>
      </w:r>
      <w:r>
        <w:rPr>
          <w:lang w:val="pt-BR"/>
        </w:rPr>
        <w:t xml:space="preserve">CTXD </w:t>
      </w:r>
      <w:r>
        <w:rPr>
          <w:lang w:val="pt-BR"/>
        </w:rPr>
        <w:t xml:space="preserve">hiện</w:t>
      </w:r>
      <w:r>
        <w:rPr>
          <w:lang w:val="pt-BR"/>
        </w:rPr>
        <w:t xml:space="preserve"> </w:t>
      </w:r>
      <w:r>
        <w:rPr>
          <w:lang w:val="pt-BR"/>
        </w:rPr>
        <w:t xml:space="preserve">có</w:t>
      </w:r>
      <w:r>
        <w:rPr>
          <w:lang w:val="pt-BR"/>
        </w:rPr>
        <w:t xml:space="preserve"> </w:t>
      </w:r>
      <w:r>
        <w:rPr>
          <w:lang w:val="pt-BR"/>
        </w:rPr>
        <w:t xml:space="preserve">trên</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đang</w:t>
      </w:r>
      <w:r>
        <w:rPr>
          <w:lang w:val="pt-BR"/>
        </w:rPr>
        <w:t xml:space="preserve"> </w:t>
      </w:r>
      <w:r>
        <w:rPr>
          <w:lang w:val="pt-BR"/>
        </w:rPr>
        <w:t xml:space="preserve">trong</w:t>
      </w:r>
      <w:r>
        <w:rPr>
          <w:lang w:val="pt-BR"/>
        </w:rPr>
        <w:t xml:space="preserve"> </w:t>
      </w:r>
      <w:r>
        <w:rPr>
          <w:lang w:val="pt-BR"/>
        </w:rPr>
        <w:t xml:space="preserve">quá</w:t>
      </w:r>
      <w:r>
        <w:rPr>
          <w:lang w:val="pt-BR"/>
        </w:rPr>
        <w:t xml:space="preserve"> </w:t>
      </w:r>
      <w:r>
        <w:rPr>
          <w:lang w:val="pt-BR"/>
        </w:rPr>
        <w:t xml:space="preserve">trình</w:t>
      </w:r>
      <w:r>
        <w:rPr>
          <w:lang w:val="pt-BR"/>
        </w:rPr>
        <w:t xml:space="preserve"> </w:t>
      </w:r>
      <w:r>
        <w:rPr>
          <w:lang w:val="pt-BR"/>
        </w:rPr>
        <w:t xml:space="preserve">xử</w:t>
      </w:r>
      <w:r>
        <w:rPr>
          <w:lang w:val="pt-BR"/>
        </w:rPr>
        <w:t xml:space="preserve"> </w:t>
      </w:r>
      <w:r>
        <w:rPr>
          <w:lang w:val="pt-BR"/>
        </w:rPr>
        <w:t xml:space="preserve">lý</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tại</w:t>
      </w:r>
      <w:r>
        <w:rPr>
          <w:lang w:val="pt-BR"/>
        </w:rPr>
        <w:t xml:space="preserve"> </w:t>
      </w:r>
      <w:r>
        <w:rPr>
          <w:lang w:val="pt-BR"/>
        </w:rPr>
        <w:t xml:space="preserve">Ngân</w:t>
      </w:r>
      <w:r>
        <w:rPr>
          <w:lang w:val="pt-BR"/>
        </w:rPr>
        <w:t xml:space="preserve"> </w:t>
      </w:r>
      <w:r>
        <w:rPr>
          <w:lang w:val="pt-BR"/>
        </w:rPr>
        <w:t xml:space="preserve">hàng</w:t>
      </w:r>
      <w:r>
        <w:rPr>
          <w:lang w:val="pt-BR"/>
        </w:rPr>
        <w:t xml:space="preserve">, </w:t>
      </w:r>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nhận</w:t>
      </w:r>
      <w:r>
        <w:rPr>
          <w:lang w:val="pt-BR"/>
        </w:rPr>
        <w:t xml:space="preserve"> </w:t>
      </w:r>
      <w:r>
        <w:rPr>
          <w:lang w:val="pt-BR"/>
        </w:rPr>
        <w:t xml:space="preserve">được</w:t>
      </w:r>
      <w:r>
        <w:rPr>
          <w:lang w:val="pt-BR"/>
        </w:rPr>
        <w:t xml:space="preserve"> </w:t>
      </w:r>
      <w:r>
        <w:rPr>
          <w:lang w:val="pt-BR"/>
        </w:rPr>
        <w:t xml:space="preserve">sự</w:t>
      </w:r>
      <w:r>
        <w:rPr>
          <w:lang w:val="pt-BR"/>
        </w:rPr>
        <w:t xml:space="preserve"> </w:t>
      </w:r>
      <w:r>
        <w:rPr>
          <w:lang w:val="pt-BR"/>
        </w:rPr>
        <w:t xml:space="preserve">phối</w:t>
      </w:r>
      <w:r>
        <w:rPr>
          <w:lang w:val="pt-BR"/>
        </w:rPr>
        <w:t xml:space="preserve"> </w:t>
      </w:r>
      <w:r>
        <w:rPr>
          <w:lang w:val="pt-BR"/>
        </w:rPr>
        <w:t xml:space="preserve">hợp</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để</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đầy</w:t>
      </w:r>
      <w:r>
        <w:rPr>
          <w:lang w:val="pt-BR"/>
        </w:rPr>
        <w:t xml:space="preserve"> </w:t>
      </w:r>
      <w:r>
        <w:rPr>
          <w:lang w:val="pt-BR"/>
        </w:rPr>
        <w:t xml:space="preserve">đủ</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khảo</w:t>
      </w:r>
      <w:r>
        <w:rPr>
          <w:lang w:val="pt-BR"/>
        </w:rPr>
        <w:t xml:space="preserve"> </w:t>
      </w:r>
      <w:r>
        <w:rPr>
          <w:lang w:val="pt-BR"/>
        </w:rPr>
        <w:t xml:space="preserve">sát</w:t>
      </w:r>
      <w:r>
        <w:rPr>
          <w:lang w:val="pt-BR"/>
        </w:rPr>
        <w:t xml:space="preserve">, </w:t>
      </w:r>
      <w:r>
        <w:rPr>
          <w:lang w:val="pt-BR"/>
        </w:rPr>
        <w:t xml:space="preserve">đo</w:t>
      </w:r>
      <w:r>
        <w:rPr>
          <w:lang w:val="pt-BR"/>
        </w:rPr>
        <w:t xml:space="preserve"> </w:t>
      </w:r>
      <w:r>
        <w:rPr>
          <w:lang w:val="pt-BR"/>
        </w:rPr>
        <w:t xml:space="preserve">đạc</w:t>
      </w:r>
      <w:r>
        <w:rPr>
          <w:lang w:val="pt-BR"/>
        </w:rPr>
        <w:t xml:space="preserve">.</w:t>
      </w:r>
      <w:r>
        <w:rPr>
          <w:lang w:val="pt-BR"/>
        </w:rPr>
        <w:t xml:space="preserve"> </w:t>
      </w:r>
      <w:r>
        <w:rPr>
          <w:lang w:val="pt-BR"/>
        </w:rPr>
        <w:t xml:space="preserve">D</w:t>
      </w:r>
      <w:r>
        <w:rPr>
          <w:lang w:val="pt-BR"/>
        </w:rPr>
        <w:t xml:space="preserve">o </w:t>
      </w:r>
      <w:r>
        <w:rPr>
          <w:lang w:val="pt-BR"/>
        </w:rPr>
        <w:t xml:space="preserve">vậy</w:t>
      </w:r>
      <w:r>
        <w:rPr>
          <w:lang w:val="pt-BR"/>
        </w:rPr>
        <w:t xml:space="preserve">, </w:t>
      </w:r>
      <w:r>
        <w:rPr>
          <w:lang w:val="pt-BR"/>
        </w:rPr>
        <w:t xml:space="preserve">theo</w:t>
      </w:r>
      <w:r>
        <w:rPr>
          <w:lang w:val="pt-BR"/>
        </w:rPr>
        <w:t xml:space="preserve"> </w:t>
      </w:r>
      <w:r>
        <w:rPr>
          <w:lang w:val="pt-BR"/>
        </w:rPr>
        <w:t xml:space="preserve">đề</w:t>
      </w:r>
      <w:r>
        <w:rPr>
          <w:lang w:val="pt-BR"/>
        </w:rPr>
        <w:t xml:space="preserve"> </w:t>
      </w:r>
      <w:r>
        <w:rPr>
          <w:lang w:val="pt-BR"/>
        </w:rPr>
        <w:t xml:space="preserve">nghị</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w:t>
      </w:r>
      <w:r>
        <w:rPr>
          <w:lang w:val="pt-BR"/>
        </w:rPr>
        <w:t xml:space="preserve">Ngân</w:t>
      </w:r>
      <w:r>
        <w:rPr>
          <w:lang w:val="pt-BR"/>
        </w:rPr>
        <w:t xml:space="preserve"> </w:t>
      </w:r>
      <w:r>
        <w:rPr>
          <w:lang w:val="pt-BR"/>
        </w:rPr>
        <w:t xml:space="preserve">hàng</w:t>
      </w:r>
      <w:r>
        <w:rPr>
          <w:lang w:val="pt-BR"/>
        </w:rPr>
        <w:t xml:space="preserve">, </w:t>
      </w:r>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công</w:t>
      </w:r>
      <w:r>
        <w:rPr>
          <w:lang w:val="pt-BR"/>
        </w:rPr>
        <w:t xml:space="preserve"> </w:t>
      </w:r>
      <w:r>
        <w:rPr>
          <w:lang w:val="pt-BR"/>
        </w:rPr>
        <w:t xml:space="preserve">trình</w:t>
      </w:r>
      <w:r>
        <w:rPr>
          <w:lang w:val="pt-BR"/>
        </w:rPr>
        <w:t xml:space="preserve"> </w:t>
      </w:r>
      <w:r>
        <w:rPr>
          <w:lang w:val="pt-BR"/>
        </w:rPr>
        <w:t xml:space="preserve">theo</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với</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thông</w:t>
      </w:r>
      <w:r>
        <w:rPr>
          <w:lang w:val="pt-BR"/>
        </w:rPr>
        <w:t xml:space="preserve"> </w:t>
      </w:r>
      <w:r>
        <w:rPr>
          <w:lang w:val="pt-BR"/>
        </w:rPr>
        <w:t xml:space="preserve">số</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nl-NL"/>
        </w:rPr>
        <w:t xml:space="preserve">giá</w:t>
      </w:r>
      <w:r>
        <w:rPr>
          <w:lang w:val="nl-NL"/>
        </w:rPr>
        <w:t xml:space="preserve"> </w:t>
      </w:r>
      <w:r>
        <w:rPr>
          <w:lang w:val="nl-NL"/>
        </w:rPr>
        <w:t xml:space="preserve">trị</w:t>
      </w:r>
      <w:r>
        <w:rPr>
          <w:lang w:val="nl-NL"/>
        </w:rPr>
        <w:t xml:space="preserve"> </w:t>
      </w:r>
      <w:r>
        <w:rPr>
          <w:lang w:val="nl-NL"/>
        </w:rPr>
        <w:t xml:space="preserve">công</w:t>
      </w:r>
      <w:r>
        <w:rPr>
          <w:lang w:val="nl-NL"/>
        </w:rPr>
        <w:t xml:space="preserve"> </w:t>
      </w:r>
      <w:r>
        <w:rPr>
          <w:lang w:val="nl-NL"/>
        </w:rPr>
        <w:t xml:space="preserve">trình</w:t>
      </w:r>
      <w:r>
        <w:rPr>
          <w:lang w:val="nl-NL"/>
        </w:rPr>
        <w:t xml:space="preserve"> </w:t>
      </w:r>
      <w:r>
        <w:rPr>
          <w:lang w:val="nl-NL"/>
        </w:rPr>
        <w:t xml:space="preserve">xây</w:t>
      </w:r>
      <w:r>
        <w:rPr>
          <w:lang w:val="nl-NL"/>
        </w:rPr>
        <w:t xml:space="preserve"> </w:t>
      </w:r>
      <w:r>
        <w:rPr>
          <w:lang w:val="nl-NL"/>
        </w:rPr>
        <w:t xml:space="preserve">dựng</w:t>
      </w:r>
      <w:r>
        <w:rPr>
          <w:lang w:val="nl-NL"/>
        </w:rPr>
        <w:t xml:space="preserve"> </w:t>
      </w:r>
      <w:r>
        <w:rPr>
          <w:lang w:val="nl-NL"/>
        </w:rPr>
        <w:t xml:space="preserve">chỉ</w:t>
      </w:r>
      <w:r>
        <w:rPr>
          <w:lang w:val="nl-NL"/>
        </w:rPr>
        <w:t xml:space="preserve"> </w:t>
      </w:r>
      <w:r>
        <w:rPr>
          <w:lang w:val="nl-NL"/>
        </w:rPr>
        <w:t xml:space="preserve">mang</w:t>
      </w:r>
      <w:r>
        <w:rPr>
          <w:lang w:val="nl-NL"/>
        </w:rPr>
        <w:t xml:space="preserve"> </w:t>
      </w:r>
      <w:r>
        <w:rPr>
          <w:lang w:val="nl-NL"/>
        </w:rPr>
        <w:t xml:space="preserve">tính</w:t>
      </w:r>
      <w:r>
        <w:rPr>
          <w:lang w:val="nl-NL"/>
        </w:rPr>
        <w:t xml:space="preserve"> </w:t>
      </w:r>
      <w:r>
        <w:rPr>
          <w:lang w:val="nl-NL"/>
        </w:rPr>
        <w:t xml:space="preserve">chất</w:t>
      </w:r>
      <w:r>
        <w:rPr>
          <w:lang w:val="nl-NL"/>
        </w:rPr>
        <w:t xml:space="preserve"> </w:t>
      </w:r>
      <w:r>
        <w:rPr>
          <w:lang w:val="nl-NL"/>
        </w:rPr>
        <w:t xml:space="preserve">tham</w:t>
      </w:r>
      <w:r>
        <w:rPr>
          <w:lang w:val="nl-NL"/>
        </w:rPr>
        <w:t xml:space="preserve"> </w:t>
      </w:r>
      <w:r>
        <w:rPr>
          <w:lang w:val="nl-NL"/>
        </w:rPr>
        <w:t xml:space="preserve">khảo</w:t>
      </w:r>
      <w:r>
        <w:rPr>
          <w:lang w:val="nl-NL"/>
        </w:rPr>
        <w:t xml:space="preserve">. </w:t>
      </w:r>
      <w:r>
        <w:rPr>
          <w:lang w:val="nl-NL"/>
        </w:rPr>
        <w:t xml:space="preserve">Ngoài</w:t>
      </w:r>
      <w:r>
        <w:rPr>
          <w:lang w:val="nl-NL"/>
        </w:rPr>
        <w:t xml:space="preserve"> ra, </w:t>
      </w:r>
      <w:r>
        <w:rPr>
          <w:lang w:val="nl-NL"/>
        </w:rPr>
        <w:t xml:space="preserve">Tổ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không</w:t>
      </w:r>
      <w:r>
        <w:rPr>
          <w:lang w:val="nl-NL"/>
        </w:rPr>
        <w:t xml:space="preserve"> có </w:t>
      </w:r>
      <w:r>
        <w:rPr>
          <w:lang w:val="nl-NL"/>
        </w:rPr>
        <w:t xml:space="preserve">trách</w:t>
      </w:r>
      <w:r>
        <w:rPr>
          <w:lang w:val="nl-NL"/>
        </w:rPr>
        <w:t xml:space="preserve"> </w:t>
      </w:r>
      <w:r>
        <w:rPr>
          <w:lang w:val="nl-NL"/>
        </w:rPr>
        <w:t xml:space="preserve">nhiệm</w:t>
      </w:r>
      <w:r>
        <w:rPr>
          <w:lang w:val="nl-NL"/>
        </w:rPr>
        <w:t xml:space="preserve"> </w:t>
      </w:r>
      <w:r>
        <w:rPr>
          <w:lang w:val="nl-NL"/>
        </w:rPr>
        <w:t xml:space="preserve">xác</w:t>
      </w:r>
      <w:r>
        <w:rPr>
          <w:lang w:val="nl-NL"/>
        </w:rPr>
        <w:t xml:space="preserve"> </w:t>
      </w:r>
      <w:r>
        <w:rPr>
          <w:lang w:val="nl-NL"/>
        </w:rPr>
        <w:t xml:space="preserve">minh</w:t>
      </w:r>
      <w:r>
        <w:rPr>
          <w:lang w:val="nl-NL"/>
        </w:rPr>
        <w:t xml:space="preserve"> </w:t>
      </w:r>
      <w:r>
        <w:rPr>
          <w:lang w:val="nl-NL"/>
        </w:rPr>
        <w:t xml:space="preserve">chủ</w:t>
      </w:r>
      <w:r>
        <w:rPr>
          <w:lang w:val="nl-NL"/>
        </w:rPr>
        <w:t xml:space="preserve"> </w:t>
      </w:r>
      <w:r>
        <w:rPr>
          <w:lang w:val="nl-NL"/>
        </w:rPr>
        <w:t xml:space="preserve">sở</w:t>
      </w:r>
      <w:r>
        <w:rPr>
          <w:lang w:val="nl-NL"/>
        </w:rPr>
        <w:t xml:space="preserve"> </w:t>
      </w:r>
      <w:r>
        <w:rPr>
          <w:lang w:val="nl-NL"/>
        </w:rPr>
        <w:t xml:space="preserve">hữu</w:t>
      </w:r>
      <w:r>
        <w:rPr>
          <w:lang w:val="nl-NL"/>
        </w:rPr>
        <w:t xml:space="preserve"> </w:t>
      </w:r>
      <w:r>
        <w:rPr>
          <w:lang w:val="nl-NL"/>
        </w:rPr>
        <w:t xml:space="preserve">công</w:t>
      </w:r>
      <w:r>
        <w:rPr>
          <w:lang w:val="nl-NL"/>
        </w:rPr>
        <w:t xml:space="preserve"> </w:t>
      </w:r>
      <w:r>
        <w:rPr>
          <w:lang w:val="nl-NL"/>
        </w:rPr>
        <w:t xml:space="preserve">trình</w:t>
      </w:r>
      <w:r>
        <w:rPr>
          <w:lang w:val="nl-NL"/>
        </w:rPr>
        <w:t xml:space="preserve"> </w:t>
      </w:r>
      <w:r>
        <w:rPr>
          <w:lang w:val="nl-NL"/>
        </w:rPr>
        <w:t xml:space="preserve">xây</w:t>
      </w:r>
      <w:r>
        <w:rPr>
          <w:lang w:val="nl-NL"/>
        </w:rPr>
        <w:t xml:space="preserve"> </w:t>
      </w:r>
      <w:r>
        <w:rPr>
          <w:lang w:val="nl-NL"/>
        </w:rPr>
        <w:t xml:space="preserve">dựng</w:t>
      </w:r>
      <w:r>
        <w:rPr>
          <w:lang w:val="nl-NL"/>
        </w:rPr>
        <w:t xml:space="preserve"> </w:t>
      </w:r>
      <w:r>
        <w:rPr>
          <w:lang w:val="nl-NL"/>
        </w:rPr>
        <w:t xml:space="preserve">trên</w:t>
      </w:r>
      <w:r>
        <w:rPr>
          <w:lang w:val="nl-NL"/>
        </w:rPr>
        <w:t xml:space="preserve">. </w:t>
      </w:r>
      <w:r>
        <w:rPr>
          <w:lang w:val="nl-NL"/>
        </w:rPr>
        <w:t xml:space="preserve">Kính</w:t>
      </w:r>
      <w:r>
        <w:rPr>
          <w:lang w:val="nl-NL"/>
        </w:rPr>
        <w:t xml:space="preserve"> </w:t>
      </w:r>
      <w:r>
        <w:rPr>
          <w:lang w:val="nl-NL"/>
        </w:rPr>
        <w:t xml:space="preserve">đề</w:t>
      </w:r>
      <w:r>
        <w:rPr>
          <w:lang w:val="nl-NL"/>
        </w:rPr>
        <w:t xml:space="preserve"> </w:t>
      </w:r>
      <w:r>
        <w:rPr>
          <w:lang w:val="nl-NL"/>
        </w:rPr>
        <w:t xml:space="preserve">nghị</w:t>
      </w:r>
      <w:r>
        <w:rPr>
          <w:lang w:val="nl-NL"/>
        </w:rPr>
        <w:t xml:space="preserve"> </w:t>
      </w:r>
      <w:r>
        <w:rPr>
          <w:lang w:val="nl-NL"/>
        </w:rPr>
        <w:t xml:space="preserve">đơn</w:t>
      </w:r>
      <w:r>
        <w:rPr>
          <w:lang w:val="nl-NL"/>
        </w:rPr>
        <w:t xml:space="preserve"> </w:t>
      </w:r>
      <w:r>
        <w:rPr>
          <w:lang w:val="nl-NL"/>
        </w:rPr>
        <w:t xml:space="preserve">vị</w:t>
      </w:r>
      <w:r>
        <w:rPr>
          <w:lang w:val="nl-NL"/>
        </w:rPr>
        <w:t xml:space="preserve"> </w:t>
      </w:r>
      <w:r>
        <w:rPr>
          <w:lang w:val="nl-NL"/>
        </w:rPr>
        <w:t xml:space="preserve">sử</w:t>
      </w:r>
      <w:r>
        <w:rPr>
          <w:lang w:val="nl-NL"/>
        </w:rPr>
        <w:t xml:space="preserve"> </w:t>
      </w:r>
      <w:r>
        <w:rPr>
          <w:lang w:val="nl-NL"/>
        </w:rPr>
        <w:t xml:space="preserve">dụng</w:t>
      </w:r>
      <w:r>
        <w:rPr>
          <w:lang w:val="nl-NL"/>
        </w:rPr>
        <w:t xml:space="preserve"> </w:t>
      </w:r>
      <w:r>
        <w:rPr>
          <w:lang w:val="nl-NL"/>
        </w:rPr>
        <w:t xml:space="preserve">kết</w:t>
      </w:r>
      <w:r>
        <w:rPr>
          <w:lang w:val="nl-NL"/>
        </w:rPr>
        <w:t xml:space="preserve"> </w:t>
      </w:r>
      <w:r>
        <w:rPr>
          <w:lang w:val="nl-NL"/>
        </w:rPr>
        <w:t xml:space="preserve">quả</w:t>
      </w:r>
      <w:r>
        <w:rPr>
          <w:lang w:val="nl-NL"/>
        </w:rPr>
        <w:t xml:space="preserve"> </w:t>
      </w:r>
      <w:r>
        <w:rPr>
          <w:lang w:val="nl-NL"/>
        </w:rPr>
        <w:t xml:space="preserve">lưu</w:t>
      </w:r>
      <w:r>
        <w:rPr>
          <w:lang w:val="nl-NL"/>
        </w:rPr>
        <w:t xml:space="preserve"> ý</w:t>
      </w:r>
      <w:r>
        <w:rPr>
          <w:lang w:val="nl-NL"/>
        </w:rPr>
        <w:t xml:space="preserve">.</w:t>
      </w:r>
      <w:r>
        <w:rPr>
          <w:lang w:val="pt-BR"/>
        </w:rPr>
      </w:r>
      <w:r>
        <w:rPr>
          <w:lang w:val="pt-BR"/>
        </w:rPr>
      </w:r>
    </w:p>
    <w:p>
      <w:pPr>
        <w:pStyle w:val="1032"/>
        <w:numPr>
          <w:ilvl w:val="0"/>
          <w:numId w:val="3"/>
        </w:numPr>
        <w:pBdr/>
        <w:tabs>
          <w:tab w:val="left" w:leader="none" w:pos="993"/>
        </w:tabs>
        <w:spacing w:after="120" w:before="120" w:line="305"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2"/>
        <w:numPr>
          <w:ilvl w:val="0"/>
          <w:numId w:val="5"/>
        </w:numPr>
        <w:pBdr/>
        <w:tabs>
          <w:tab w:val="left" w:leader="none" w:pos="993"/>
        </w:tabs>
        <w:spacing w:after="120" w:before="120" w:line="305"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2"/>
        <w:numPr>
          <w:ilvl w:val="0"/>
          <w:numId w:val="5"/>
        </w:numPr>
        <w:pBdr/>
        <w:tabs>
          <w:tab w:val="left" w:leader="none" w:pos="993"/>
        </w:tabs>
        <w:spacing w:after="120" w:before="120" w:line="305" w:lineRule="auto"/>
        <w:ind w:hanging="357" w:left="357"/>
        <w:jc w:val="both"/>
        <w:rPr>
          <w:lang w:val="pt-BR"/>
        </w:rPr>
      </w:pPr>
      <w:r/>
      <w:bookmarkStart w:id="3"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3"/>
      <w:r>
        <w:rPr>
          <w:lang w:val="pt-BR"/>
        </w:rPr>
      </w:r>
      <w:r>
        <w:rPr>
          <w:lang w:val="pt-BR"/>
        </w:rPr>
      </w:r>
    </w:p>
    <w:p>
      <w:pPr>
        <w:pBdr/>
        <w:spacing w:after="120" w:before="120" w:line="305"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2"/>
        <w:pBdr/>
        <w:tabs>
          <w:tab w:val="left" w:leader="none" w:pos="993"/>
        </w:tabs>
        <w:spacing w:after="120" w:before="120" w:line="305"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32"/>
        <w:pBdr/>
        <w:tabs>
          <w:tab w:val="left" w:leader="none" w:pos="993"/>
        </w:tabs>
        <w:spacing w:after="120" w:before="120" w:line="305"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Bdr/>
        <w:spacing w:after="200" w:line="276" w:lineRule="auto"/>
        <w:ind/>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275/2026/022/VFI-CT.34</w:t>
      </w:r>
      <w:r>
        <w:rPr>
          <w:color w:val="000000" w:themeColor="text1"/>
        </w:rPr>
        <w:t xml:space="preserve"> </w:t>
      </w:r>
      <w:r>
        <w:rPr>
          <w:lang w:val="vi-VN"/>
        </w:rPr>
        <w:t xml:space="preserve">ngày </w:t>
      </w:r>
      <w:r>
        <w:rPr>
          <w:color w:val="000000" w:themeColor="text1"/>
        </w:rPr>
        <w:t xml:space="preserve">ngày 20 tháng 1 năm 2026</w:t>
      </w:r>
      <w:r>
        <w:rPr>
          <w:lang w:val="vi-VN"/>
        </w:rPr>
        <w:t xml:space="preserve"> </w:t>
      </w:r>
      <w:r>
        <w:rPr>
          <w:lang w:val="vi-VN"/>
        </w:rPr>
        <w:t xml:space="preserve">tại</w:t>
      </w:r>
      <w:r>
        <w:rPr>
          <w:lang w:val="vi-VN"/>
        </w:rPr>
        <w:t xml:space="preserve"> </w:t>
      </w:r>
      <w:r>
        <w:rPr>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457"/>
        <w:gridCol w:w="4906"/>
      </w:tblGrid>
      <w:tr>
        <w:trPr>
          <w:trHeight w:val="20"/>
        </w:trPr>
        <w:tc>
          <w:tcPr>
            <w:tcBorders/>
            <w:tcW w:w="2380"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620"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380"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620"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380" w:type="pct"/>
            <w:vAlign w:val="center"/>
            <w:textDirection w:val="lrTb"/>
            <w:noWrap w:val="false"/>
          </w:tcPr>
          <w:p>
            <w:pPr>
              <w:pBdr/>
              <w:spacing w:line="276" w:lineRule="auto"/>
              <w:ind/>
              <w:jc w:val="center"/>
              <w:rPr>
                <w:rFonts w:eastAsia="Calibri"/>
                <w:b/>
                <w:lang w:val="pt-BR"/>
              </w:rPr>
            </w:pPr>
            <w:r>
              <w:rPr>
                <w:rFonts w:eastAsia="Calibri"/>
                <w:b/>
                <w:color w:val="000000" w:themeColor="text1"/>
                <w:lang w:val="pt-BR"/>
              </w:rPr>
              <w:t xml:space="preserve">Nguyễn Thị Thùy Dương</w:t>
            </w:r>
            <w:r>
              <w:rPr>
                <w:rFonts w:eastAsia="Calibri"/>
                <w:b/>
                <w:lang w:val="pt-BR"/>
              </w:rPr>
            </w:r>
            <w:r>
              <w:rPr>
                <w:rFonts w:eastAsia="Calibri"/>
                <w:b/>
                <w:lang w:val="pt-BR"/>
              </w:rPr>
            </w:r>
          </w:p>
          <w:p>
            <w:pPr>
              <w:pBdr/>
              <w:spacing w:line="276" w:lineRule="auto"/>
              <w:ind/>
              <w:jc w:val="center"/>
              <w:rPr>
                <w:rFonts w:eastAsia="Calibri"/>
                <w:bCs/>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620"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784"/>
        <w:gridCol w:w="4579"/>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Chu Thế Hiển</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275/2026/022/VFI-BC.34</w:t>
      </w:r>
      <w:r>
        <w:rPr>
          <w:i/>
          <w:lang w:val="pt-BR"/>
        </w:rPr>
        <w:t xml:space="preserve">ngày</w:t>
      </w:r>
      <w:r>
        <w:rPr>
          <w:i/>
          <w:lang w:val="pt-BR"/>
        </w:rPr>
        <w:t xml:space="preserve"> </w:t>
      </w:r>
      <w:r>
        <w:rPr>
          <w:i/>
          <w:lang w:val="pt-BR"/>
        </w:rPr>
        <w:t xml:space="preserve">20 tháng 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i/>
          <w:lang w:val="pt-BR"/>
        </w:rPr>
      </w:pPr>
      <w:r>
        <w:rPr>
          <w:b/>
          <w:bCs/>
          <w:i/>
          <w:lang w:val="pt-BR"/>
        </w:rPr>
        <w:t xml:space="preserve">Tài</w:t>
      </w:r>
      <w:r>
        <w:rPr>
          <w:b/>
          <w:bCs/>
          <w:i/>
          <w:lang w:val="pt-BR"/>
        </w:rPr>
        <w:t xml:space="preserve"> </w:t>
      </w:r>
      <w:r>
        <w:rPr>
          <w:b/>
          <w:bCs/>
          <w:i/>
          <w:lang w:val="pt-BR"/>
        </w:rPr>
        <w:t xml:space="preserve">sản</w:t>
      </w:r>
      <w:r>
        <w:rPr>
          <w:b/>
          <w:bCs/>
          <w:i/>
          <w:lang w:val="pt-BR"/>
        </w:rPr>
        <w:t xml:space="preserve"> </w:t>
      </w:r>
      <w:r>
        <w:rPr>
          <w:b/>
          <w:bCs/>
          <w:i/>
          <w:lang w:val="pt-BR"/>
        </w:rPr>
        <w:t xml:space="preserve">0</w:t>
      </w:r>
      <w:r>
        <w:rPr>
          <w:b/>
          <w:bCs/>
          <w:i/>
          <w:lang w:val="pt-BR"/>
        </w:rPr>
        <w:t xml:space="preserve">1: </w:t>
      </w:r>
      <w:r>
        <w:rPr>
          <w:i/>
          <w:lang w:val="pt-BR"/>
        </w:rPr>
      </w:r>
      <w:r>
        <w:rPr>
          <w:i/>
          <w:lang w:val="pt-BR"/>
        </w:rPr>
      </w:r>
    </w:p>
    <w:tbl>
      <w:tblPr>
        <w:tblStyle w:val="103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714"/>
        <w:gridCol w:w="4708"/>
        <w:gridCol w:w="103"/>
      </w:tblGrid>
      <w:tr>
        <w:trPr/>
        <w:tc>
          <w:tcPr>
            <w:tcBorders/>
            <w:tcMar>
              <w:left w:w="108" w:type="dxa"/>
              <w:top w:w="0" w:type="dxa"/>
              <w:right w:w="108" w:type="dxa"/>
              <w:bottom w:w="0" w:type="dxa"/>
            </w:tcMar>
            <w:tcW w:w="4714"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2105025" cy="252412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968140" name=""/>
                              <pic:cNvPicPr>
                                <a:picLocks noChangeAspect="1"/>
                              </pic:cNvPicPr>
                              <pic:nvPr/>
                            </pic:nvPicPr>
                            <pic:blipFill rotWithShape="1">
                              <a:blip r:embed="rId19"/>
                              <a:stretch/>
                            </pic:blipFill>
                            <pic:spPr bwMode="auto">
                              <a:xfrm>
                                <a:off x="0" y="0"/>
                                <a:ext cx="2105024" cy="25241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65.75pt;height:198.75pt;mso-wrap-distance-left:0.00pt;mso-wrap-distance-top:0.00pt;mso-wrap-distance-right:0.00pt;mso-wrap-distance-bottom:0.00pt;z-index:1;" stroked="false">
                      <v:imagedata r:id="rId19" o:title=""/>
                      <o:lock v:ext="edit" rotation="t"/>
                    </v:shape>
                  </w:pict>
                </mc:Fallback>
              </mc:AlternateContent>
            </w:r>
            <w:r/>
          </w:p>
        </w:tc>
        <w:tc>
          <w:tcPr>
            <w:gridSpan w:val="2"/>
            <w:tcBorders/>
            <w:tcMar>
              <w:left w:w="108" w:type="dxa"/>
              <w:top w:w="0" w:type="dxa"/>
              <w:right w:w="108" w:type="dxa"/>
              <w:bottom w:w="0" w:type="dxa"/>
            </w:tcMar>
            <w:tcW w:w="4811"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2886075" cy="2162175"/>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992469" name=""/>
                              <pic:cNvPicPr>
                                <a:picLocks noChangeAspect="1"/>
                              </pic:cNvPicPr>
                              <pic:nvPr/>
                            </pic:nvPicPr>
                            <pic:blipFill rotWithShape="1">
                              <a:blip r:embed="rId20"/>
                              <a:stretch/>
                            </pic:blipFill>
                            <pic:spPr bwMode="auto">
                              <a:xfrm>
                                <a:off x="0" y="0"/>
                                <a:ext cx="2886075" cy="21621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7.25pt;height:170.25pt;mso-wrap-distance-left:0.00pt;mso-wrap-distance-top:0.00pt;mso-wrap-distance-right:0.00pt;mso-wrap-distance-bottom:0.00pt;z-index:1;" stroked="false">
                      <v:imagedata r:id="rId20" o:title=""/>
                      <o:lock v:ext="edit" rotation="t"/>
                    </v:shape>
                  </w:pict>
                </mc:Fallback>
              </mc:AlternateContent>
            </w:r>
            <w:r/>
          </w:p>
        </w:tc>
      </w:tr>
      <w:tr>
        <w:trPr/>
        <w:tc>
          <w:tcPr>
            <w:tcBorders/>
            <w:tcMar>
              <w:left w:w="108" w:type="dxa"/>
              <w:top w:w="0" w:type="dxa"/>
              <w:right w:w="108" w:type="dxa"/>
              <w:bottom w:w="0" w:type="dxa"/>
            </w:tcMar>
            <w:tcW w:w="4714"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2743200" cy="205740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518672" name=""/>
                              <pic:cNvPicPr>
                                <a:picLocks noChangeAspect="1"/>
                              </pic:cNvPicPr>
                              <pic:nvPr/>
                            </pic:nvPicPr>
                            <pic:blipFill rotWithShape="1">
                              <a:blip r:embed="rId21"/>
                              <a:stretch/>
                            </pic:blipFill>
                            <pic:spPr bwMode="auto">
                              <a:xfrm>
                                <a:off x="0" y="0"/>
                                <a:ext cx="2743200" cy="20574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6.00pt;height:162.00pt;mso-wrap-distance-left:0.00pt;mso-wrap-distance-top:0.00pt;mso-wrap-distance-right:0.00pt;mso-wrap-distance-bottom:0.00pt;z-index:1;" stroked="false">
                      <v:imagedata r:id="rId21" o:title=""/>
                      <o:lock v:ext="edit" rotation="t"/>
                    </v:shape>
                  </w:pict>
                </mc:Fallback>
              </mc:AlternateContent>
            </w:r>
            <w:r/>
          </w:p>
        </w:tc>
        <w:tc>
          <w:tcPr>
            <w:gridSpan w:val="2"/>
            <w:tcBorders/>
            <w:tcMar>
              <w:left w:w="108" w:type="dxa"/>
              <w:top w:w="0" w:type="dxa"/>
              <w:right w:w="108" w:type="dxa"/>
              <w:bottom w:w="0" w:type="dxa"/>
            </w:tcMar>
            <w:tcW w:w="4811"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2847975" cy="213360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857494" name=""/>
                              <pic:cNvPicPr>
                                <a:picLocks noChangeAspect="1"/>
                              </pic:cNvPicPr>
                              <pic:nvPr/>
                            </pic:nvPicPr>
                            <pic:blipFill rotWithShape="1">
                              <a:blip r:embed="rId22"/>
                              <a:stretch/>
                            </pic:blipFill>
                            <pic:spPr bwMode="auto">
                              <a:xfrm>
                                <a:off x="0" y="0"/>
                                <a:ext cx="2847974" cy="2133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4.25pt;height:168.00pt;mso-wrap-distance-left:0.00pt;mso-wrap-distance-top:0.00pt;mso-wrap-distance-right:0.00pt;mso-wrap-distance-bottom:0.00pt;z-index:1;" stroked="false">
                      <v:imagedata r:id="rId22" o:title=""/>
                      <o:lock v:ext="edit" rotation="t"/>
                    </v:shape>
                  </w:pict>
                </mc:Fallback>
              </mc:AlternateContent>
            </w:r>
            <w:r/>
          </w:p>
        </w:tc>
      </w:tr>
      <w:tr>
        <w:trPr/>
        <w:tc>
          <w:tcPr>
            <w:tcBorders/>
            <w:tcMar>
              <w:left w:w="108" w:type="dxa"/>
              <w:top w:w="0" w:type="dxa"/>
              <w:right w:w="108" w:type="dxa"/>
              <w:bottom w:w="0" w:type="dxa"/>
            </w:tcMar>
            <w:tcW w:w="4714"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 </w:t>
            </w:r>
            <w:r>
              <mc:AlternateContent>
                <mc:Choice Requires="wpg">
                  <w:drawing>
                    <wp:inline xmlns:wp="http://schemas.openxmlformats.org/drawingml/2006/wordprocessingDrawing" distT="0" distB="0" distL="0" distR="0">
                      <wp:extent cx="2733675" cy="204787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837662" name=""/>
                              <pic:cNvPicPr>
                                <a:picLocks noChangeAspect="1"/>
                              </pic:cNvPicPr>
                              <pic:nvPr/>
                            </pic:nvPicPr>
                            <pic:blipFill rotWithShape="1">
                              <a:blip r:embed="rId23"/>
                              <a:stretch/>
                            </pic:blipFill>
                            <pic:spPr bwMode="auto">
                              <a:xfrm>
                                <a:off x="0" y="0"/>
                                <a:ext cx="2733674" cy="20478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5.25pt;height:161.25pt;mso-wrap-distance-left:0.00pt;mso-wrap-distance-top:0.00pt;mso-wrap-distance-right:0.00pt;mso-wrap-distance-bottom:0.00pt;z-index:1;" stroked="false">
                      <v:imagedata r:id="rId23" o:title=""/>
                      <o:lock v:ext="edit" rotation="t"/>
                    </v:shape>
                  </w:pict>
                </mc:Fallback>
              </mc:AlternateContent>
            </w:r>
            <w:r>
              <w:rPr>
                <w:rFonts w:ascii="Times New Roman" w:hAnsi="Times New Roman" w:eastAsia="Times New Roman" w:cs="Times New Roman"/>
                <w:b/>
                <w:i/>
                <w:color w:val="000000"/>
                <w:sz w:val="24"/>
              </w:rPr>
            </w:r>
            <w:r/>
          </w:p>
        </w:tc>
        <w:tc>
          <w:tcPr>
            <w:gridSpan w:val="2"/>
            <w:tcBorders/>
            <w:tcMar>
              <w:left w:w="108" w:type="dxa"/>
              <w:top w:w="0" w:type="dxa"/>
              <w:right w:w="108" w:type="dxa"/>
              <w:bottom w:w="0" w:type="dxa"/>
            </w:tcMar>
            <w:tcW w:w="4811"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r>
            <w:r>
              <mc:AlternateContent>
                <mc:Choice Requires="wpg">
                  <w:drawing>
                    <wp:inline xmlns:wp="http://schemas.openxmlformats.org/drawingml/2006/wordprocessingDrawing" distT="0" distB="0" distL="0" distR="0">
                      <wp:extent cx="2743200" cy="205740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450274" name=""/>
                              <pic:cNvPicPr>
                                <a:picLocks noChangeAspect="1"/>
                              </pic:cNvPicPr>
                              <pic:nvPr/>
                            </pic:nvPicPr>
                            <pic:blipFill rotWithShape="1">
                              <a:blip r:embed="rId24"/>
                              <a:stretch/>
                            </pic:blipFill>
                            <pic:spPr bwMode="auto">
                              <a:xfrm>
                                <a:off x="0" y="0"/>
                                <a:ext cx="2743200" cy="20574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16.00pt;height:162.00pt;mso-wrap-distance-left:0.00pt;mso-wrap-distance-top:0.00pt;mso-wrap-distance-right:0.00pt;mso-wrap-distance-bottom:0.00pt;z-index:1;" stroked="false">
                      <v:imagedata r:id="rId24" o:title=""/>
                      <o:lock v:ext="edit" rotation="t"/>
                    </v:shape>
                  </w:pict>
                </mc:Fallback>
              </mc:AlternateContent>
            </w:r>
            <w:r>
              <w:rPr>
                <w:rFonts w:ascii="Times New Roman" w:hAnsi="Times New Roman" w:eastAsia="Times New Roman" w:cs="Times New Roman"/>
                <w:b/>
                <w:i/>
                <w:color w:val="000000"/>
                <w:sz w:val="24"/>
              </w:rPr>
              <w:t xml:space="preserve"> </w:t>
            </w:r>
            <w:r/>
          </w:p>
        </w:tc>
      </w:tr>
      <w:tr>
        <w:trPr>
          <w:gridAfter w:val="1"/>
        </w:trPr>
        <w:tc>
          <w:tcPr>
            <w:gridSpan w:val="2"/>
            <w:tcBorders/>
            <w:tcMar>
              <w:left w:w="108" w:type="dxa"/>
              <w:top w:w="0" w:type="dxa"/>
              <w:right w:w="108" w:type="dxa"/>
              <w:bottom w:w="0" w:type="dxa"/>
            </w:tcMar>
            <w:tcW w:w="94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i/>
                <w:color w:val="000000"/>
                <w:sz w:val="24"/>
              </w:rPr>
              <w:t xml:space="preserve">      </w:t>
            </w:r>
            <w:r/>
          </w:p>
        </w:tc>
      </w:tr>
    </w:tbl>
    <w:p>
      <w:pPr>
        <w:pBdr/>
        <w:spacing/>
        <w:ind/>
        <w:rPr/>
      </w:pPr>
      <w:r/>
      <w:r/>
    </w:p>
    <w:p>
      <w:pPr>
        <w:pBdr/>
        <w:spacing w:after="200" w:line="276" w:lineRule="auto"/>
        <w:ind w:firstLine="720"/>
        <w:jc w:val="center"/>
        <w:rPr/>
      </w:pPr>
      <w:r>
        <w:br w:type="page" w:clear="all"/>
      </w:r>
      <w:r>
        <w:rPr>
          <w:b/>
          <w:bCs/>
          <w:i/>
          <w:lang w:val="pt-BR"/>
        </w:rPr>
      </w:r>
      <w:r/>
    </w:p>
    <w:p>
      <w:pPr>
        <w:pBdr/>
        <w:spacing w:after="200" w:line="276" w:lineRule="auto"/>
        <w:ind/>
        <w:rPr/>
      </w:pPr>
      <w:r/>
      <w:r/>
    </w:p>
    <w:p>
      <w:pPr>
        <w:pBdr/>
        <w:spacing w:after="200" w:line="276" w:lineRule="auto"/>
        <w:ind/>
        <w:jc w:val="center"/>
        <w:rPr>
          <w:b/>
          <w:u w:val="single"/>
          <w:lang w:val="vi-VN"/>
        </w:rPr>
      </w:pPr>
      <w:r>
        <w:rPr>
          <w:b/>
          <w:u w:val="single"/>
          <w:lang w:val="vi-VN"/>
        </w:rPr>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275/2026/022/VFI-BC.34</w:t>
      </w:r>
      <w:r>
        <w:rPr>
          <w:i/>
        </w:rPr>
        <w:t xml:space="preserve">ngày</w:t>
      </w:r>
      <w:r>
        <w:rPr>
          <w:i/>
        </w:rPr>
        <w:t xml:space="preserve"> </w:t>
      </w:r>
      <w:r>
        <w:rPr>
          <w:i/>
          <w:lang w:val="pt-BR"/>
        </w:rPr>
        <w:t xml:space="preserve">20 tháng 1 năm 2026</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i/>
          <w:iCs/>
          <w:lang w:val="pt-BR"/>
        </w:rPr>
      </w:pPr>
      <w:r>
        <w:rPr>
          <w:b/>
          <w:i/>
          <w:iCs/>
          <w:lang w:val="pt-BR"/>
        </w:rPr>
        <w:t xml:space="preserve">Tài</w:t>
      </w:r>
      <w:r>
        <w:rPr>
          <w:b/>
          <w:i/>
          <w:iCs/>
          <w:lang w:val="pt-BR"/>
        </w:rPr>
        <w:t xml:space="preserve"> </w:t>
      </w:r>
      <w:r>
        <w:rPr>
          <w:b/>
          <w:i/>
          <w:iCs/>
          <w:lang w:val="pt-BR"/>
        </w:rPr>
        <w:t xml:space="preserve">sản</w:t>
      </w:r>
      <w:r>
        <w:rPr>
          <w:b/>
          <w:i/>
          <w:iCs/>
          <w:lang w:val="pt-BR"/>
        </w:rPr>
        <w:t xml:space="preserve"> </w:t>
      </w:r>
      <w:r>
        <w:rPr>
          <w:b/>
          <w:i/>
          <w:iCs/>
          <w:lang w:val="pt-BR"/>
        </w:rPr>
        <w:t xml:space="preserve">so</w:t>
      </w:r>
      <w:r>
        <w:rPr>
          <w:b/>
          <w:i/>
          <w:iCs/>
          <w:lang w:val="pt-BR"/>
        </w:rPr>
        <w:t xml:space="preserve"> </w:t>
      </w:r>
      <w:r>
        <w:rPr>
          <w:b/>
          <w:i/>
          <w:iCs/>
          <w:lang w:val="pt-BR"/>
        </w:rPr>
        <w:t xml:space="preserve">sánh</w:t>
      </w:r>
      <w:r>
        <w:rPr>
          <w:b/>
          <w:i/>
          <w:iCs/>
          <w:lang w:val="pt-BR"/>
        </w:rPr>
        <w:t xml:space="preserve"> </w:t>
      </w:r>
      <w:r>
        <w:rPr>
          <w:b/>
          <w:i/>
          <w:iCs/>
          <w:lang w:val="pt-BR"/>
        </w:rPr>
        <w:t xml:space="preserve">cho</w:t>
      </w:r>
      <w:r>
        <w:rPr>
          <w:b/>
          <w:i/>
          <w:iCs/>
          <w:lang w:val="pt-BR"/>
        </w:rPr>
        <w:t xml:space="preserve"> </w:t>
      </w:r>
      <w:r>
        <w:rPr>
          <w:b/>
          <w:i/>
          <w:iCs/>
          <w:lang w:val="pt-BR"/>
        </w:rPr>
        <w:t xml:space="preserve">Tài</w:t>
      </w:r>
      <w:r>
        <w:rPr>
          <w:b/>
          <w:i/>
          <w:iCs/>
          <w:lang w:val="pt-BR"/>
        </w:rPr>
        <w:t xml:space="preserve"> </w:t>
      </w:r>
      <w:r>
        <w:rPr>
          <w:b/>
          <w:i/>
          <w:iCs/>
          <w:lang w:val="pt-BR"/>
        </w:rPr>
        <w:t xml:space="preserve">sản</w:t>
      </w:r>
      <w:r>
        <w:rPr>
          <w:b/>
          <w:i/>
          <w:iCs/>
          <w:lang w:val="pt-BR"/>
        </w:rPr>
        <w:t xml:space="preserve"> 01: </w:t>
      </w:r>
      <w:r>
        <w:rPr>
          <w:b/>
          <w:i/>
          <w:iCs/>
          <w:lang w:val="pt-BR"/>
        </w:rPr>
      </w:r>
      <w:r>
        <w:rPr>
          <w:b/>
          <w:i/>
          <w:iCs/>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https://www.facebook.com/photo/?fbid=895789632953877&amp;set=pcb.2706848543003105</w:t>
            </w:r>
            <w:r>
              <w:rPr>
                <w:color w:val="000000" w:themeColor="text1"/>
                <w:sz w:val="22"/>
                <w:szCs w:val="22"/>
              </w:rPr>
              <w:br/>
              <w:t xml:space="preserve">0972 043 281</w:t>
            </w:r>
            <w:r>
              <w:rPr>
                <w:sz w:val="22"/>
                <w:szCs w:val="22"/>
              </w:rPr>
              <w:t xml:space="preserve"> </w:t>
            </w:r>
            <w:r>
              <w:rPr>
                <w:sz w:val="22"/>
                <w:szCs w:val="22"/>
              </w:rPr>
              <w:br/>
              <w:t xml:space="preserve">(</w:t>
            </w:r>
            <w:r>
              <w:rPr>
                <w:color w:val="000000" w:themeColor="text1"/>
                <w:sz w:val="22"/>
                <w:szCs w:val="22"/>
              </w:rPr>
              <w:t xml:space="preserve">Toàn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3.878.000.000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3.684.100.000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thôn,Đất trồng cây lâu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 Có thời hạn (đến 31/05/2064)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Bình Yên, Huyện Thạch Thất, Thành phố Hà Nội, khoảng cách ra đường chính cách DT420 khoảng 200m, độ rộng đường trước mặt tài sản 4.5m, mặt tiền 5.31m, 21.031972888195952, 105.53352847663861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110.8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5.31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545724"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454572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57.93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781163"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378116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97.73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87.50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781229"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178122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40.25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120"/>
        <w:ind/>
        <w:rPr>
          <w:i/>
          <w:lang w:val="pt-BR"/>
        </w:rPr>
      </w:pPr>
      <w:r>
        <w:rPr>
          <w:i/>
          <w:lang w:val="pt-BR"/>
        </w:rPr>
      </w: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Chu Thế Hiển</w:t>
            </w:r>
            <w:r>
              <w:rPr>
                <w:b/>
                <w:bCs/>
              </w:rPr>
            </w:r>
            <w:r>
              <w:rPr>
                <w:b/>
                <w:bCs/>
              </w:rPr>
            </w:r>
          </w:p>
          <w:p>
            <w:pPr>
              <w:pBdr/>
              <w:spacing/>
              <w:ind/>
              <w:jc w:val="center"/>
              <w:rPr>
                <w:b/>
                <w:bCs/>
              </w:rPr>
            </w:pPr>
            <w:r>
              <w:rPr>
                <w:b/>
                <w:bCs/>
              </w:rPr>
            </w:r>
            <w:r>
              <w:rPr>
                <w:b/>
                <w:bCs/>
              </w:rPr>
            </w:r>
            <w:r>
              <w:rPr>
                <w:b/>
                <w:bCs/>
              </w:rPr>
            </w:r>
          </w:p>
        </w:tc>
      </w:tr>
    </w:tbl>
    <w:p>
      <w:pPr>
        <w:pBdr/>
        <w:spacing w:after="120"/>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120"/>
        <w:ind/>
        <w:jc w:val="center"/>
        <w:rPr>
          <w:b/>
          <w:bCs/>
          <w:iCs/>
          <w:lang w:val="pt-BR"/>
        </w:rPr>
      </w:pPr>
      <w:r>
        <w:rPr>
          <w:b/>
          <w:bCs/>
          <w:iCs/>
          <w:lang w:val="pt-BR"/>
        </w:rPr>
        <w:br/>
      </w:r>
      <w:r>
        <w:rPr>
          <w:b/>
          <w:bCs/>
          <w:iCs/>
          <w:lang w:val="pt-BR"/>
        </w:rPr>
        <w:t xml:space="preserve">TSSS</w:t>
      </w:r>
      <w:r>
        <w:rPr>
          <w:b/>
          <w:bCs/>
          <w:iCs/>
          <w:lang w:val="pt-BR"/>
        </w:rPr>
        <w:t xml:space="preserve">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w:t>
            </w:r>
            <w:r>
              <w:rPr>
                <w:b/>
                <w:bCs/>
                <w:color w:val="000000"/>
                <w:sz w:val="22"/>
                <w:szCs w:val="22"/>
              </w:rPr>
              <w:t xml:space="preserve">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0972 043 281</w:t>
            </w:r>
            <w:r>
              <w:rPr>
                <w:sz w:val="22"/>
                <w:szCs w:val="22"/>
              </w:rPr>
              <w:t xml:space="preserve"> </w:t>
            </w:r>
            <w:r>
              <w:rPr>
                <w:sz w:val="22"/>
                <w:szCs w:val="22"/>
              </w:rPr>
              <w:br/>
              <w:t xml:space="preserve">(</w:t>
            </w:r>
            <w:r>
              <w:rPr>
                <w:color w:val="000000" w:themeColor="text1"/>
                <w:sz w:val="22"/>
                <w:szCs w:val="22"/>
              </w:rPr>
              <w:t xml:space="preserve">Toàn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5.100.000.000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4.845.000.000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thôn,Đất trồng cây lâu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 Có thời hạn (đến 30/06/2064)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Bình Yên, Huyện Thạch Thất, Thành phố Hà Nội, khoảng cách ra đường chính cách DT420 khoảng 60m, độ rộng đường trước mặt tài sản 4m, mặt tiền 5m, 21.030468264521716, 105.53411927678769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127.5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đường trước sau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580727"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658072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518.17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804703"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380470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99.58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37748"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423774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33.68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rPr>
          <w:i/>
          <w:lang w:val="pt-BR"/>
        </w:rPr>
      </w:pPr>
      <w:r>
        <w:rPr>
          <w:i/>
          <w:lang w:val="pt-BR"/>
        </w:rPr>
      </w: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Chu Thế Hiển</w:t>
            </w:r>
            <w:r>
              <w:rPr>
                <w:b/>
                <w:bCs/>
              </w:rPr>
            </w:r>
            <w:r>
              <w:rPr>
                <w:b/>
                <w:bCs/>
              </w:rPr>
            </w:r>
          </w:p>
        </w:tc>
      </w:tr>
    </w:tbl>
    <w:p>
      <w:pPr>
        <w:pBdr/>
        <w:spacing w:after="120"/>
        <w:ind/>
        <w:rPr>
          <w:b/>
          <w:bCs/>
        </w:rPr>
      </w:pPr>
      <w:r>
        <w:rPr>
          <w:b/>
          <w:bCs/>
        </w:rPr>
      </w:r>
      <w:r>
        <w:rPr>
          <w:b/>
          <w:bCs/>
        </w:rPr>
      </w:r>
      <w:r>
        <w:rPr>
          <w:b/>
          <w:bCs/>
        </w:rPr>
      </w:r>
    </w:p>
    <w:p>
      <w:pPr>
        <w:pBdr/>
        <w:spacing w:after="200" w:line="276" w:lineRule="auto"/>
        <w:ind/>
        <w:rPr>
          <w:b/>
          <w:bCs/>
        </w:rPr>
      </w:pPr>
      <w:r>
        <w:rPr>
          <w:b/>
          <w:bCs/>
        </w:rPr>
        <w:br w:type="page" w:clear="all"/>
      </w:r>
      <w:r>
        <w:rPr>
          <w:b/>
          <w:bCs/>
        </w:rPr>
      </w:r>
      <w:r>
        <w:rPr>
          <w:b/>
          <w:bCs/>
        </w:rPr>
      </w:r>
    </w:p>
    <w:p>
      <w:pPr>
        <w:pBdr/>
        <w:spacing w:after="120"/>
        <w:ind/>
        <w:rPr>
          <w:b/>
          <w:bCs/>
          <w:iCs/>
          <w:lang w:val="pt-BR"/>
        </w:rPr>
      </w:pPr>
      <w:r>
        <w:rPr>
          <w:b/>
          <w:bCs/>
          <w:iCs/>
          <w:lang w:val="pt-BR"/>
        </w:rPr>
      </w:r>
      <w:r>
        <w:rPr>
          <w:b/>
          <w:bCs/>
          <w:iCs/>
          <w:lang w:val="pt-BR"/>
        </w:rPr>
      </w:r>
      <w:r>
        <w:rPr>
          <w:b/>
          <w:bCs/>
          <w:iCs/>
          <w:lang w:val="pt-BR"/>
        </w:rPr>
      </w:r>
    </w:p>
    <w:p>
      <w:pPr>
        <w:pBdr/>
        <w:spacing w:after="120"/>
        <w:ind/>
        <w:jc w:val="center"/>
        <w:rPr>
          <w:b/>
          <w:bCs/>
          <w:iCs/>
          <w:lang w:val="pt-BR"/>
        </w:rPr>
      </w:pPr>
      <w:r>
        <w:rPr>
          <w:b/>
          <w:bCs/>
          <w:iCs/>
          <w:lang w:val="pt-BR"/>
        </w:rPr>
        <w:t xml:space="preserve">TSSS</w:t>
      </w:r>
      <w:r>
        <w:rPr>
          <w:b/>
          <w:bCs/>
          <w:iCs/>
          <w:lang w:val="pt-BR"/>
        </w:rPr>
        <w:t xml:space="preserve">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w:t>
            </w:r>
            <w:r>
              <w:rPr>
                <w:b/>
                <w:bCs/>
                <w:color w:val="000000"/>
                <w:sz w:val="22"/>
                <w:szCs w:val="22"/>
              </w:rPr>
              <w:t xml:space="preserve">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https://www.facebook.com/photo/?fbid=1566256244616216&amp;set=pcb.2723460261341933</w:t>
            </w:r>
            <w:r>
              <w:rPr>
                <w:color w:val="000000" w:themeColor="text1"/>
                <w:sz w:val="22"/>
                <w:szCs w:val="22"/>
              </w:rPr>
              <w:br/>
              <w:t xml:space="preserve">0988.604.589</w:t>
            </w:r>
            <w:r>
              <w:rPr>
                <w:sz w:val="22"/>
                <w:szCs w:val="22"/>
              </w:rPr>
              <w:t xml:space="preserve"> </w:t>
            </w:r>
            <w:r>
              <w:rPr>
                <w:sz w:val="22"/>
                <w:szCs w:val="22"/>
              </w:rPr>
              <w:br/>
              <w:t xml:space="preserve">(</w:t>
            </w:r>
            <w:r>
              <w:rPr>
                <w:color w:val="000000" w:themeColor="text1"/>
                <w:sz w:val="22"/>
                <w:szCs w:val="22"/>
              </w:rPr>
              <w:t xml:space="preserve">Hải</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3.721.800.000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3.535.710.000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thôn,Đất trồng cây lâu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 Có thời hạn (đến 25/12/2075)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Bình Yên, Huyện Thạch Thất, Thành phố Hà Nội, khoảng cách ra đường chính cách DT420 khoảng 200m, độ rộng đường trước mặt tài sản 4m, mặt tiền 5m, 21.03147969396101, 105.53307857968991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109.2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4581525" cy="2428875"/>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235986" name=""/>
                              <pic:cNvPicPr>
                                <a:picLocks noChangeAspect="1"/>
                              </pic:cNvPicPr>
                              <pic:nvPr/>
                            </pic:nvPicPr>
                            <pic:blipFill rotWithShape="1">
                              <a:blip r:embed="rId32"/>
                              <a:stretch/>
                            </pic:blipFill>
                            <pic:spPr bwMode="auto">
                              <a:xfrm>
                                <a:off x="0" y="0"/>
                                <a:ext cx="4581524" cy="24288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60.75pt;height:191.25pt;mso-wrap-distance-left:0.00pt;mso-wrap-distance-top:0.00pt;mso-wrap-distance-right:0.00pt;mso-wrap-distance-bottom:0.00pt;z-index:1;" stroked="false">
                      <v:imagedata r:id="rId32"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mc:AlternateContent>
                <mc:Choice Requires="wpg">
                  <w:drawing>
                    <wp:inline xmlns:wp="http://schemas.openxmlformats.org/drawingml/2006/wordprocessingDrawing" distT="0" distB="0" distL="0" distR="0">
                      <wp:extent cx="4019550" cy="1914525"/>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05442" name=""/>
                              <pic:cNvPicPr>
                                <a:picLocks noChangeAspect="1"/>
                              </pic:cNvPicPr>
                              <pic:nvPr/>
                            </pic:nvPicPr>
                            <pic:blipFill rotWithShape="1">
                              <a:blip r:embed="rId33"/>
                              <a:stretch/>
                            </pic:blipFill>
                            <pic:spPr bwMode="auto">
                              <a:xfrm>
                                <a:off x="0" y="0"/>
                                <a:ext cx="4019549" cy="19145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316.50pt;height:150.75pt;mso-wrap-distance-left:0.00pt;mso-wrap-distance-top:0.00pt;mso-wrap-distance-right:0.00pt;mso-wrap-distance-bottom:0.00pt;z-index:1;" stroked="false">
                      <v:imagedata r:id="rId33"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2295525" cy="3057525"/>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406925" name=""/>
                              <pic:cNvPicPr>
                                <a:picLocks noChangeAspect="1"/>
                              </pic:cNvPicPr>
                              <pic:nvPr/>
                            </pic:nvPicPr>
                            <pic:blipFill rotWithShape="1">
                              <a:blip r:embed="rId34"/>
                              <a:stretch/>
                            </pic:blipFill>
                            <pic:spPr bwMode="auto">
                              <a:xfrm>
                                <a:off x="0" y="0"/>
                                <a:ext cx="2295524" cy="30575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80.75pt;height:240.75pt;mso-wrap-distance-left:0.00pt;mso-wrap-distance-top:0.00pt;mso-wrap-distance-right:0.00pt;mso-wrap-distance-bottom:0.00pt;z-index:1;" stroked="false">
                      <v:imagedata r:id="rId34" o:title=""/>
                      <o:lock v:ext="edit" rotation="t"/>
                    </v:shape>
                  </w:pict>
                </mc:Fallback>
              </mc:AlternateContent>
            </w:r>
            <w:r>
              <mc:AlternateContent>
                <mc:Choice Requires="wpg">
                  <w:drawing>
                    <wp:inline xmlns:wp="http://schemas.openxmlformats.org/drawingml/2006/wordprocessingDrawing" distT="0" distB="0" distL="0" distR="0">
                      <wp:extent cx="2733675" cy="4848225"/>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38721" name=""/>
                              <pic:cNvPicPr>
                                <a:picLocks noChangeAspect="1"/>
                              </pic:cNvPicPr>
                              <pic:nvPr/>
                            </pic:nvPicPr>
                            <pic:blipFill rotWithShape="1">
                              <a:blip r:embed="rId35"/>
                              <a:stretch/>
                            </pic:blipFill>
                            <pic:spPr bwMode="auto">
                              <a:xfrm>
                                <a:off x="0" y="0"/>
                                <a:ext cx="2733674" cy="48482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215.25pt;height:381.75pt;mso-wrap-distance-left:0.00pt;mso-wrap-distance-top:0.00pt;mso-wrap-distance-right:0.00pt;mso-wrap-distance-bottom:0.00pt;z-index:1;" stroked="false">
                      <v:imagedata r:id="rId35" o:title=""/>
                      <o:lock v:ext="edit" rotation="t"/>
                    </v:shape>
                  </w:pict>
                </mc:Fallback>
              </mc:AlternateConten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rPr>
          <w:i/>
          <w:lang w:val="pt-BR"/>
        </w:rPr>
      </w:pPr>
      <w:r>
        <w:rPr>
          <w:i/>
          <w:lang w:val="pt-BR"/>
        </w:rPr>
      </w: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r>
            <w:r>
              <w:rPr>
                <w:b/>
                <w:bCs/>
              </w:rPr>
            </w:r>
            <w:r>
              <w:rPr>
                <w:b/>
                <w:bCs/>
              </w:rPr>
            </w:r>
          </w:p>
          <w:p>
            <w:pPr>
              <w:pBdr/>
              <w:spacing/>
              <w:ind/>
              <w:jc w:val="center"/>
              <w:rPr>
                <w:b/>
                <w:bCs/>
              </w:rPr>
            </w:pPr>
            <w:r>
              <w:rPr>
                <w:b/>
                <w:bCs/>
              </w:rPr>
              <w:t xml:space="preserve">Chu Thế Hiển</w:t>
            </w:r>
            <w:r>
              <w:rPr>
                <w:b/>
                <w:bCs/>
              </w:rPr>
            </w:r>
            <w:r>
              <w:rPr>
                <w:b/>
                <w:bCs/>
              </w:rPr>
            </w:r>
          </w:p>
        </w:tc>
      </w:tr>
    </w:tbl>
    <w:p>
      <w:pPr>
        <w:pBdr/>
        <w:spacing w:after="200" w:line="276" w:lineRule="auto"/>
        <w:ind/>
        <w:rPr>
          <w:b/>
          <w:bCs/>
        </w:rPr>
      </w:pPr>
      <w:r>
        <w:rPr>
          <w:b/>
          <w:bCs/>
        </w:rPr>
      </w:r>
      <w:r>
        <w:rPr>
          <w:b/>
          <w:bCs/>
        </w:rPr>
      </w:r>
      <w:r>
        <w:rPr>
          <w:b/>
          <w:bCs/>
        </w:rPr>
      </w:r>
    </w:p>
    <w:p>
      <w:pPr>
        <w:pBdr/>
        <w:spacing w:after="200" w:line="276" w:lineRule="auto"/>
        <w:ind/>
        <w:jc w:val="center"/>
        <w:rPr>
          <w:b/>
          <w:bCs/>
          <w:highlight w:val="none"/>
        </w:rPr>
      </w:pPr>
      <w:r>
        <w:rPr>
          <w:b/>
          <w:bCs/>
        </w:rPr>
        <w:br w:type="page" w:clear="all"/>
      </w:r>
      <w:r>
        <w:rPr>
          <w:rFonts w:ascii="Times New Roman" w:hAnsi="Times New Roman" w:eastAsia="Times New Roman" w:cs="Times New Roman"/>
          <w:b/>
          <w:color w:val="000000"/>
          <w:sz w:val="24"/>
        </w:rPr>
        <w:t xml:space="preserve">PHIẾU KHẢO SÁT</w:t>
      </w:r>
      <w:r>
        <w:rPr>
          <w:b/>
          <w:bCs/>
        </w:rPr>
      </w:r>
      <w:r>
        <w:rPr>
          <w:b/>
          <w:bCs/>
          <w:highlight w:val="none"/>
        </w:rPr>
      </w:r>
    </w:p>
    <w:p>
      <w:pPr>
        <w:pBdr/>
        <w:spacing w:after="200" w:line="276" w:lineRule="auto"/>
        <w:ind/>
        <w:jc w:val="center"/>
        <w:rPr>
          <w:b/>
          <w:bCs/>
        </w:rPr>
      </w:pPr>
      <w:r>
        <w:rPr>
          <w:b/>
          <w:bCs/>
          <w:highlight w:val="none"/>
        </w:rPr>
      </w:r>
      <w:r>
        <mc:AlternateContent>
          <mc:Choice Requires="wpg">
            <w:drawing>
              <wp:inline xmlns:wp="http://schemas.openxmlformats.org/drawingml/2006/wordprocessingDrawing" distT="0" distB="0" distL="0" distR="0">
                <wp:extent cx="3419475" cy="7458075"/>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798208" name=""/>
                        <pic:cNvPicPr>
                          <a:picLocks noChangeAspect="1"/>
                        </pic:cNvPicPr>
                        <pic:nvPr/>
                      </pic:nvPicPr>
                      <pic:blipFill rotWithShape="1">
                        <a:blip r:embed="rId36"/>
                        <a:stretch/>
                      </pic:blipFill>
                      <pic:spPr bwMode="auto">
                        <a:xfrm>
                          <a:off x="0" y="0"/>
                          <a:ext cx="3419474" cy="74580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269.25pt;height:587.25pt;mso-wrap-distance-left:0.00pt;mso-wrap-distance-top:0.00pt;mso-wrap-distance-right:0.00pt;mso-wrap-distance-bottom:0.00pt;z-index:1;" stroked="false">
                <v:imagedata r:id="rId36" o:title=""/>
                <o:lock v:ext="edit" rotation="t"/>
              </v:shape>
            </w:pict>
          </mc:Fallback>
        </mc:AlternateContent>
      </w:r>
      <w:r>
        <w:rPr>
          <w:b/>
          <w:bCs/>
          <w:highlight w:val="none"/>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8"/>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46</w:t>
    </w:r>
    <w:r>
      <w:rPr>
        <w:caps/>
        <w:color w:val="000000" w:themeColor="text1"/>
      </w:rPr>
      <w:fldChar w:fldCharType="end"/>
    </w:r>
    <w:r>
      <w:rPr>
        <w:caps/>
        <w:color w:val="000000" w:themeColor="text1"/>
      </w:rPr>
    </w:r>
    <w:r>
      <w:rPr>
        <w:caps/>
        <w:color w:val="000000" w:themeColor="text1"/>
      </w:rPr>
    </w:r>
  </w:p>
  <w:p>
    <w:pPr>
      <w:pStyle w:val="1028"/>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8"/>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8"/>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6"/>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C157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3">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4">
    <w:nsid w:val="0E5329E7"/>
    <w:lvl w:ilvl="0">
      <w:isLgl w:val="false"/>
      <w:lvlJc w:val="left"/>
      <w:lvlText w:val=""/>
      <w:numFmt w:val="bullet"/>
      <w:pPr>
        <w:pBdr/>
        <w:spacing/>
        <w:ind w:hanging="360" w:left="1077"/>
      </w:pPr>
      <w:rPr>
        <w:rFonts w:hint="default" w:ascii="Wingdings" w:hAnsi="Wingdings"/>
        <w:color w:val="000000" w:themeColor="text1"/>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5">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6">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8">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0">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1">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2">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3">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4">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6">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7">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8">
    <w:nsid w:val="45230541"/>
    <w:lvl w:ilvl="0">
      <w:isLgl w:val="false"/>
      <w:lvlJc w:val="left"/>
      <w:lvlText w:val=""/>
      <w:numFmt w:val="bullet"/>
      <w:pPr>
        <w:pBdr/>
        <w:spacing/>
        <w:ind w:hanging="360" w:left="1004"/>
      </w:pPr>
      <w:rPr>
        <w:rFonts w:hint="default" w:ascii="Wingdings" w:hAnsi="Wingdings"/>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9">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0">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21">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22">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4">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5">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6">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7">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8">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9">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1">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32">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3">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4">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5">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7">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8">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9">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40">
    <w:nsid w:val="76060ECD"/>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5"/>
  </w:num>
  <w:num w:numId="2">
    <w:abstractNumId w:val="8"/>
  </w:num>
  <w:num w:numId="3">
    <w:abstractNumId w:val="7"/>
  </w:num>
  <w:num w:numId="4">
    <w:abstractNumId w:val="30"/>
  </w:num>
  <w:num w:numId="5">
    <w:abstractNumId w:val="34"/>
  </w:num>
  <w:num w:numId="6">
    <w:abstractNumId w:val="36"/>
  </w:num>
  <w:num w:numId="7">
    <w:abstractNumId w:val="13"/>
  </w:num>
  <w:num w:numId="8">
    <w:abstractNumId w:val="5"/>
  </w:num>
  <w:num w:numId="9">
    <w:abstractNumId w:val="10"/>
  </w:num>
  <w:num w:numId="10">
    <w:abstractNumId w:val="14"/>
  </w:num>
  <w:num w:numId="11">
    <w:abstractNumId w:val="24"/>
  </w:num>
  <w:num w:numId="12">
    <w:abstractNumId w:val="9"/>
  </w:num>
  <w:num w:numId="13">
    <w:abstractNumId w:val="27"/>
  </w:num>
  <w:num w:numId="14">
    <w:abstractNumId w:val="21"/>
  </w:num>
  <w:num w:numId="15">
    <w:abstractNumId w:val="17"/>
  </w:num>
  <w:num w:numId="16">
    <w:abstractNumId w:val="6"/>
  </w:num>
  <w:num w:numId="17">
    <w:abstractNumId w:val="13"/>
  </w:num>
  <w:num w:numId="18">
    <w:abstractNumId w:val="38"/>
  </w:num>
  <w:num w:numId="19">
    <w:abstractNumId w:val="35"/>
  </w:num>
  <w:num w:numId="20">
    <w:abstractNumId w:val="26"/>
  </w:num>
  <w:num w:numId="21">
    <w:abstractNumId w:val="16"/>
  </w:num>
  <w:num w:numId="22">
    <w:abstractNumId w:val="11"/>
  </w:num>
  <w:num w:numId="23">
    <w:abstractNumId w:val="39"/>
  </w:num>
  <w:num w:numId="24">
    <w:abstractNumId w:val="19"/>
  </w:num>
  <w:num w:numId="25">
    <w:abstractNumId w:val="32"/>
  </w:num>
  <w:num w:numId="26">
    <w:abstractNumId w:val="28"/>
  </w:num>
  <w:num w:numId="27">
    <w:abstractNumId w:val="1"/>
  </w:num>
  <w:num w:numId="28">
    <w:abstractNumId w:val="2"/>
  </w:num>
  <w:num w:numId="29">
    <w:abstractNumId w:val="25"/>
  </w:num>
  <w:num w:numId="30">
    <w:abstractNumId w:val="31"/>
  </w:num>
  <w:num w:numId="31">
    <w:abstractNumId w:val="20"/>
  </w:num>
  <w:num w:numId="32">
    <w:abstractNumId w:val="33"/>
  </w:num>
  <w:num w:numId="33">
    <w:abstractNumId w:val="3"/>
  </w:num>
  <w:num w:numId="34">
    <w:abstractNumId w:val="12"/>
  </w:num>
  <w:num w:numId="35">
    <w:abstractNumId w:val="23"/>
  </w:num>
  <w:num w:numId="36">
    <w:abstractNumId w:val="37"/>
  </w:num>
  <w:num w:numId="37">
    <w:abstractNumId w:val="29"/>
  </w:num>
  <w:num w:numId="38">
    <w:abstractNumId w:val="22"/>
  </w:num>
  <w:num w:numId="39">
    <w:abstractNumId w:val="4"/>
  </w:num>
  <w:num w:numId="40">
    <w:abstractNumId w:val="18"/>
  </w:num>
  <w:num w:numId="41">
    <w:abstractNumId w:val="0"/>
  </w:num>
  <w:num w:numId="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4">
    <w:name w:val="Table Grid Light"/>
    <w:basedOn w:val="1016"/>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1"/>
    <w:basedOn w:val="1016"/>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2"/>
    <w:basedOn w:val="1016"/>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3"/>
    <w:basedOn w:val="101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4"/>
    <w:basedOn w:val="101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5"/>
    <w:basedOn w:val="101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w:basedOn w:val="1016"/>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1"/>
    <w:basedOn w:val="1016"/>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2"/>
    <w:basedOn w:val="1016"/>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3"/>
    <w:basedOn w:val="1016"/>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4"/>
    <w:basedOn w:val="1016"/>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5"/>
    <w:basedOn w:val="1016"/>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6"/>
    <w:basedOn w:val="1016"/>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w:basedOn w:val="1016"/>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1"/>
    <w:basedOn w:val="1016"/>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2"/>
    <w:basedOn w:val="1016"/>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3"/>
    <w:basedOn w:val="1016"/>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4"/>
    <w:basedOn w:val="1016"/>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5"/>
    <w:basedOn w:val="1016"/>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6"/>
    <w:basedOn w:val="1016"/>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w:basedOn w:val="1016"/>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1"/>
    <w:basedOn w:val="1016"/>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2"/>
    <w:basedOn w:val="1016"/>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3"/>
    <w:basedOn w:val="1016"/>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4"/>
    <w:basedOn w:val="1016"/>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5"/>
    <w:basedOn w:val="1016"/>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6"/>
    <w:basedOn w:val="1016"/>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w:basedOn w:val="1016"/>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1"/>
    <w:basedOn w:val="1016"/>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2"/>
    <w:basedOn w:val="1016"/>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3"/>
    <w:basedOn w:val="1016"/>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4"/>
    <w:basedOn w:val="1016"/>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5"/>
    <w:basedOn w:val="1016"/>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6"/>
    <w:basedOn w:val="1016"/>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w:basedOn w:val="101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Accent 1"/>
    <w:basedOn w:val="101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2"/>
    <w:basedOn w:val="101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3"/>
    <w:basedOn w:val="101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Accent 4"/>
    <w:basedOn w:val="101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5"/>
    <w:basedOn w:val="101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6"/>
    <w:basedOn w:val="101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6 Colorful"/>
    <w:basedOn w:val="1016"/>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6">
    <w:name w:val="Grid Table 6 Colorful - Accent 1"/>
    <w:basedOn w:val="1016"/>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7">
    <w:name w:val="Grid Table 6 Colorful - Accent 2"/>
    <w:basedOn w:val="1016"/>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8">
    <w:name w:val="Grid Table 6 Colorful - Accent 3"/>
    <w:basedOn w:val="1016"/>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9">
    <w:name w:val="Grid Table 6 Colorful - Accent 4"/>
    <w:basedOn w:val="1016"/>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0">
    <w:name w:val="Grid Table 6 Colorful - Accent 5"/>
    <w:basedOn w:val="1016"/>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1">
    <w:name w:val="Grid Table 6 Colorful - Accent 6"/>
    <w:basedOn w:val="1016"/>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2">
    <w:name w:val="Grid Table 7 Colorful"/>
    <w:basedOn w:val="1016"/>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1"/>
    <w:basedOn w:val="1016"/>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2"/>
    <w:basedOn w:val="1016"/>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3"/>
    <w:basedOn w:val="1016"/>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4"/>
    <w:basedOn w:val="1016"/>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5"/>
    <w:basedOn w:val="1016"/>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6"/>
    <w:basedOn w:val="1016"/>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w:basedOn w:val="101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1"/>
    <w:basedOn w:val="101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2"/>
    <w:basedOn w:val="101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3"/>
    <w:basedOn w:val="101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4"/>
    <w:basedOn w:val="101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5"/>
    <w:basedOn w:val="101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6"/>
    <w:basedOn w:val="101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w:basedOn w:val="1016"/>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1"/>
    <w:basedOn w:val="1016"/>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2"/>
    <w:basedOn w:val="1016"/>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3"/>
    <w:basedOn w:val="1016"/>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4"/>
    <w:basedOn w:val="1016"/>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5"/>
    <w:basedOn w:val="1016"/>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6"/>
    <w:basedOn w:val="1016"/>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w:basedOn w:val="1016"/>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1"/>
    <w:basedOn w:val="1016"/>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2"/>
    <w:basedOn w:val="1016"/>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3"/>
    <w:basedOn w:val="1016"/>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4"/>
    <w:basedOn w:val="1016"/>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5"/>
    <w:basedOn w:val="1016"/>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6"/>
    <w:basedOn w:val="1016"/>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w:basedOn w:val="1016"/>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1"/>
    <w:basedOn w:val="1016"/>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2"/>
    <w:basedOn w:val="1016"/>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3"/>
    <w:basedOn w:val="1016"/>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4"/>
    <w:basedOn w:val="1016"/>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5"/>
    <w:basedOn w:val="1016"/>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6"/>
    <w:basedOn w:val="1016"/>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5 Dark"/>
    <w:basedOn w:val="1016"/>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1"/>
    <w:basedOn w:val="1016"/>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2"/>
    <w:basedOn w:val="1016"/>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3"/>
    <w:basedOn w:val="1016"/>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4"/>
    <w:basedOn w:val="1016"/>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5"/>
    <w:basedOn w:val="1016"/>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6"/>
    <w:basedOn w:val="1016"/>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6 Colorful"/>
    <w:basedOn w:val="1016"/>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1"/>
    <w:basedOn w:val="1016"/>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2"/>
    <w:basedOn w:val="1016"/>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3"/>
    <w:basedOn w:val="1016"/>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4"/>
    <w:basedOn w:val="1016"/>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5"/>
    <w:basedOn w:val="1016"/>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6"/>
    <w:basedOn w:val="1016"/>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7 Colorful"/>
    <w:basedOn w:val="1016"/>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2">
    <w:name w:val="List Table 7 Colorful - Accent 1"/>
    <w:basedOn w:val="1016"/>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3">
    <w:name w:val="List Table 7 Colorful - Accent 2"/>
    <w:basedOn w:val="1016"/>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4">
    <w:name w:val="List Table 7 Colorful - Accent 3"/>
    <w:basedOn w:val="1016"/>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5">
    <w:name w:val="List Table 7 Colorful - Accent 4"/>
    <w:basedOn w:val="1016"/>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6">
    <w:name w:val="List Table 7 Colorful - Accent 5"/>
    <w:basedOn w:val="1016"/>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7">
    <w:name w:val="List Table 7 Colorful - Accent 6"/>
    <w:basedOn w:val="1016"/>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8">
    <w:name w:val="Lined - Accent"/>
    <w:basedOn w:val="101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1"/>
    <w:basedOn w:val="101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2"/>
    <w:basedOn w:val="101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3"/>
    <w:basedOn w:val="101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4"/>
    <w:basedOn w:val="101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5"/>
    <w:basedOn w:val="101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6"/>
    <w:basedOn w:val="101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w:basedOn w:val="1016"/>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1"/>
    <w:basedOn w:val="1016"/>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2"/>
    <w:basedOn w:val="1016"/>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3"/>
    <w:basedOn w:val="1016"/>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4"/>
    <w:basedOn w:val="1016"/>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5"/>
    <w:basedOn w:val="1016"/>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6"/>
    <w:basedOn w:val="1016"/>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w:basedOn w:val="1016"/>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1"/>
    <w:basedOn w:val="1016"/>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2"/>
    <w:basedOn w:val="1016"/>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3"/>
    <w:basedOn w:val="1016"/>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4"/>
    <w:basedOn w:val="1016"/>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5"/>
    <w:basedOn w:val="1016"/>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6"/>
    <w:basedOn w:val="1016"/>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9">
    <w:name w:val="Heading 5"/>
    <w:basedOn w:val="1010"/>
    <w:next w:val="1010"/>
    <w:link w:val="97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0">
    <w:name w:val="Heading 6"/>
    <w:basedOn w:val="1010"/>
    <w:next w:val="1010"/>
    <w:link w:val="97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1">
    <w:name w:val="Heading 7"/>
    <w:basedOn w:val="1010"/>
    <w:next w:val="1010"/>
    <w:link w:val="97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2">
    <w:name w:val="Heading 8"/>
    <w:basedOn w:val="1010"/>
    <w:next w:val="1010"/>
    <w:link w:val="97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3">
    <w:name w:val="Heading 9"/>
    <w:basedOn w:val="1010"/>
    <w:next w:val="1010"/>
    <w:link w:val="97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4">
    <w:name w:val="Heading 5 Char"/>
    <w:basedOn w:val="1015"/>
    <w:link w:val="969"/>
    <w:uiPriority w:val="9"/>
    <w:pPr>
      <w:pBdr/>
      <w:spacing/>
      <w:ind/>
    </w:pPr>
    <w:rPr>
      <w:rFonts w:ascii="Arial" w:hAnsi="Arial" w:eastAsia="Arial" w:cs="Arial"/>
      <w:color w:val="0f4761" w:themeColor="accent1" w:themeShade="BF"/>
    </w:rPr>
  </w:style>
  <w:style w:type="character" w:styleId="975">
    <w:name w:val="Heading 6 Char"/>
    <w:basedOn w:val="1015"/>
    <w:link w:val="970"/>
    <w:uiPriority w:val="9"/>
    <w:pPr>
      <w:pBdr/>
      <w:spacing/>
      <w:ind/>
    </w:pPr>
    <w:rPr>
      <w:rFonts w:ascii="Arial" w:hAnsi="Arial" w:eastAsia="Arial" w:cs="Arial"/>
      <w:i/>
      <w:iCs/>
      <w:color w:val="595959" w:themeColor="text1" w:themeTint="A6"/>
    </w:rPr>
  </w:style>
  <w:style w:type="character" w:styleId="976">
    <w:name w:val="Heading 7 Char"/>
    <w:basedOn w:val="1015"/>
    <w:link w:val="971"/>
    <w:uiPriority w:val="9"/>
    <w:pPr>
      <w:pBdr/>
      <w:spacing/>
      <w:ind/>
    </w:pPr>
    <w:rPr>
      <w:rFonts w:ascii="Arial" w:hAnsi="Arial" w:eastAsia="Arial" w:cs="Arial"/>
      <w:color w:val="595959" w:themeColor="text1" w:themeTint="A6"/>
    </w:rPr>
  </w:style>
  <w:style w:type="character" w:styleId="977">
    <w:name w:val="Heading 8 Char"/>
    <w:basedOn w:val="1015"/>
    <w:link w:val="972"/>
    <w:uiPriority w:val="9"/>
    <w:pPr>
      <w:pBdr/>
      <w:spacing/>
      <w:ind/>
    </w:pPr>
    <w:rPr>
      <w:rFonts w:ascii="Arial" w:hAnsi="Arial" w:eastAsia="Arial" w:cs="Arial"/>
      <w:i/>
      <w:iCs/>
      <w:color w:val="272727" w:themeColor="text1" w:themeTint="D8"/>
    </w:rPr>
  </w:style>
  <w:style w:type="character" w:styleId="978">
    <w:name w:val="Heading 9 Char"/>
    <w:basedOn w:val="1015"/>
    <w:link w:val="973"/>
    <w:uiPriority w:val="9"/>
    <w:pPr>
      <w:pBdr/>
      <w:spacing/>
      <w:ind/>
    </w:pPr>
    <w:rPr>
      <w:rFonts w:ascii="Arial" w:hAnsi="Arial" w:eastAsia="Arial" w:cs="Arial"/>
      <w:i/>
      <w:iCs/>
      <w:color w:val="272727" w:themeColor="text1" w:themeTint="D8"/>
    </w:rPr>
  </w:style>
  <w:style w:type="paragraph" w:styleId="979">
    <w:name w:val="Subtitle"/>
    <w:basedOn w:val="1010"/>
    <w:next w:val="1010"/>
    <w:link w:val="980"/>
    <w:uiPriority w:val="11"/>
    <w:qFormat/>
    <w:pPr>
      <w:numPr>
        <w:ilvl w:val="1"/>
      </w:numPr>
      <w:pBdr/>
      <w:spacing/>
      <w:ind/>
    </w:pPr>
    <w:rPr>
      <w:color w:val="595959" w:themeColor="text1" w:themeTint="A6"/>
      <w:spacing w:val="15"/>
      <w:sz w:val="28"/>
      <w:szCs w:val="28"/>
    </w:rPr>
  </w:style>
  <w:style w:type="character" w:styleId="980">
    <w:name w:val="Subtitle Char"/>
    <w:basedOn w:val="1015"/>
    <w:link w:val="979"/>
    <w:uiPriority w:val="11"/>
    <w:pPr>
      <w:pBdr/>
      <w:spacing/>
      <w:ind/>
    </w:pPr>
    <w:rPr>
      <w:color w:val="595959" w:themeColor="text1" w:themeTint="A6"/>
      <w:spacing w:val="15"/>
      <w:sz w:val="28"/>
      <w:szCs w:val="28"/>
    </w:rPr>
  </w:style>
  <w:style w:type="paragraph" w:styleId="981">
    <w:name w:val="Quote"/>
    <w:basedOn w:val="1010"/>
    <w:next w:val="1010"/>
    <w:link w:val="982"/>
    <w:uiPriority w:val="29"/>
    <w:qFormat/>
    <w:pPr>
      <w:pBdr/>
      <w:spacing w:before="160"/>
      <w:ind/>
      <w:jc w:val="center"/>
    </w:pPr>
    <w:rPr>
      <w:i/>
      <w:iCs/>
      <w:color w:val="404040" w:themeColor="text1" w:themeTint="BF"/>
    </w:rPr>
  </w:style>
  <w:style w:type="character" w:styleId="982">
    <w:name w:val="Quote Char"/>
    <w:basedOn w:val="1015"/>
    <w:link w:val="981"/>
    <w:uiPriority w:val="29"/>
    <w:pPr>
      <w:pBdr/>
      <w:spacing/>
      <w:ind/>
    </w:pPr>
    <w:rPr>
      <w:i/>
      <w:iCs/>
      <w:color w:val="404040" w:themeColor="text1" w:themeTint="BF"/>
    </w:rPr>
  </w:style>
  <w:style w:type="character" w:styleId="983">
    <w:name w:val="Intense Emphasis"/>
    <w:basedOn w:val="1015"/>
    <w:uiPriority w:val="21"/>
    <w:qFormat/>
    <w:pPr>
      <w:pBdr/>
      <w:spacing/>
      <w:ind/>
    </w:pPr>
    <w:rPr>
      <w:i/>
      <w:iCs/>
      <w:color w:val="0f4761" w:themeColor="accent1" w:themeShade="BF"/>
    </w:rPr>
  </w:style>
  <w:style w:type="paragraph" w:styleId="984">
    <w:name w:val="Intense Quote"/>
    <w:basedOn w:val="1010"/>
    <w:next w:val="1010"/>
    <w:link w:val="985"/>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5">
    <w:name w:val="Intense Quote Char"/>
    <w:basedOn w:val="1015"/>
    <w:link w:val="984"/>
    <w:uiPriority w:val="30"/>
    <w:pPr>
      <w:pBdr/>
      <w:spacing/>
      <w:ind/>
    </w:pPr>
    <w:rPr>
      <w:i/>
      <w:iCs/>
      <w:color w:val="0f4761" w:themeColor="accent1" w:themeShade="BF"/>
    </w:rPr>
  </w:style>
  <w:style w:type="character" w:styleId="986">
    <w:name w:val="Intense Reference"/>
    <w:basedOn w:val="1015"/>
    <w:uiPriority w:val="32"/>
    <w:qFormat/>
    <w:pPr>
      <w:pBdr/>
      <w:spacing/>
      <w:ind/>
    </w:pPr>
    <w:rPr>
      <w:b/>
      <w:bCs/>
      <w:smallCaps/>
      <w:color w:val="0f4761" w:themeColor="accent1" w:themeShade="BF"/>
      <w:spacing w:val="5"/>
    </w:rPr>
  </w:style>
  <w:style w:type="paragraph" w:styleId="987">
    <w:name w:val="No Spacing"/>
    <w:basedOn w:val="1010"/>
    <w:uiPriority w:val="1"/>
    <w:qFormat/>
    <w:pPr>
      <w:pBdr/>
      <w:spacing w:after="0" w:line="240" w:lineRule="auto"/>
      <w:ind/>
    </w:pPr>
  </w:style>
  <w:style w:type="character" w:styleId="988">
    <w:name w:val="Subtle Emphasis"/>
    <w:basedOn w:val="1015"/>
    <w:uiPriority w:val="19"/>
    <w:qFormat/>
    <w:pPr>
      <w:pBdr/>
      <w:spacing/>
      <w:ind/>
    </w:pPr>
    <w:rPr>
      <w:i/>
      <w:iCs/>
      <w:color w:val="404040" w:themeColor="text1" w:themeTint="BF"/>
    </w:rPr>
  </w:style>
  <w:style w:type="character" w:styleId="989">
    <w:name w:val="Subtle Reference"/>
    <w:basedOn w:val="1015"/>
    <w:uiPriority w:val="31"/>
    <w:qFormat/>
    <w:pPr>
      <w:pBdr/>
      <w:spacing/>
      <w:ind/>
    </w:pPr>
    <w:rPr>
      <w:smallCaps/>
      <w:color w:val="5a5a5a" w:themeColor="text1" w:themeTint="A5"/>
    </w:rPr>
  </w:style>
  <w:style w:type="character" w:styleId="990">
    <w:name w:val="Book Title"/>
    <w:basedOn w:val="1015"/>
    <w:uiPriority w:val="33"/>
    <w:qFormat/>
    <w:pPr>
      <w:pBdr/>
      <w:spacing/>
      <w:ind/>
    </w:pPr>
    <w:rPr>
      <w:b/>
      <w:bCs/>
      <w:i/>
      <w:iCs/>
      <w:spacing w:val="5"/>
    </w:rPr>
  </w:style>
  <w:style w:type="paragraph" w:styleId="991">
    <w:name w:val="Caption"/>
    <w:basedOn w:val="1010"/>
    <w:next w:val="1010"/>
    <w:uiPriority w:val="35"/>
    <w:unhideWhenUsed/>
    <w:qFormat/>
    <w:pPr>
      <w:pBdr/>
      <w:spacing w:after="200" w:line="240" w:lineRule="auto"/>
      <w:ind/>
    </w:pPr>
    <w:rPr>
      <w:i/>
      <w:iCs/>
      <w:color w:val="0e2841" w:themeColor="text2"/>
      <w:sz w:val="18"/>
      <w:szCs w:val="18"/>
    </w:rPr>
  </w:style>
  <w:style w:type="paragraph" w:styleId="992">
    <w:name w:val="footnote text"/>
    <w:basedOn w:val="1010"/>
    <w:link w:val="993"/>
    <w:uiPriority w:val="99"/>
    <w:semiHidden/>
    <w:unhideWhenUsed/>
    <w:pPr>
      <w:pBdr/>
      <w:spacing w:after="0" w:line="240" w:lineRule="auto"/>
      <w:ind/>
    </w:pPr>
    <w:rPr>
      <w:sz w:val="20"/>
      <w:szCs w:val="20"/>
    </w:rPr>
  </w:style>
  <w:style w:type="character" w:styleId="993">
    <w:name w:val="Footnote Text Char"/>
    <w:basedOn w:val="1015"/>
    <w:link w:val="992"/>
    <w:uiPriority w:val="99"/>
    <w:semiHidden/>
    <w:pPr>
      <w:pBdr/>
      <w:spacing/>
      <w:ind/>
    </w:pPr>
    <w:rPr>
      <w:sz w:val="20"/>
      <w:szCs w:val="20"/>
    </w:rPr>
  </w:style>
  <w:style w:type="character" w:styleId="994">
    <w:name w:val="footnote reference"/>
    <w:basedOn w:val="1015"/>
    <w:uiPriority w:val="99"/>
    <w:semiHidden/>
    <w:unhideWhenUsed/>
    <w:pPr>
      <w:pBdr/>
      <w:spacing/>
      <w:ind/>
    </w:pPr>
    <w:rPr>
      <w:vertAlign w:val="superscript"/>
    </w:rPr>
  </w:style>
  <w:style w:type="paragraph" w:styleId="995">
    <w:name w:val="endnote text"/>
    <w:basedOn w:val="1010"/>
    <w:link w:val="996"/>
    <w:uiPriority w:val="99"/>
    <w:semiHidden/>
    <w:unhideWhenUsed/>
    <w:pPr>
      <w:pBdr/>
      <w:spacing w:after="0" w:line="240" w:lineRule="auto"/>
      <w:ind/>
    </w:pPr>
    <w:rPr>
      <w:sz w:val="20"/>
      <w:szCs w:val="20"/>
    </w:rPr>
  </w:style>
  <w:style w:type="character" w:styleId="996">
    <w:name w:val="Endnote Text Char"/>
    <w:basedOn w:val="1015"/>
    <w:link w:val="995"/>
    <w:uiPriority w:val="99"/>
    <w:semiHidden/>
    <w:pPr>
      <w:pBdr/>
      <w:spacing/>
      <w:ind/>
    </w:pPr>
    <w:rPr>
      <w:sz w:val="20"/>
      <w:szCs w:val="20"/>
    </w:rPr>
  </w:style>
  <w:style w:type="character" w:styleId="997">
    <w:name w:val="endnote reference"/>
    <w:basedOn w:val="1015"/>
    <w:uiPriority w:val="99"/>
    <w:semiHidden/>
    <w:unhideWhenUsed/>
    <w:pPr>
      <w:pBdr/>
      <w:spacing/>
      <w:ind/>
    </w:pPr>
    <w:rPr>
      <w:vertAlign w:val="superscript"/>
    </w:rPr>
  </w:style>
  <w:style w:type="paragraph" w:styleId="998">
    <w:name w:val="toc 1"/>
    <w:basedOn w:val="1010"/>
    <w:next w:val="1010"/>
    <w:uiPriority w:val="39"/>
    <w:unhideWhenUsed/>
    <w:pPr>
      <w:pBdr/>
      <w:spacing w:after="100"/>
      <w:ind/>
    </w:pPr>
  </w:style>
  <w:style w:type="paragraph" w:styleId="999">
    <w:name w:val="toc 2"/>
    <w:basedOn w:val="1010"/>
    <w:next w:val="1010"/>
    <w:uiPriority w:val="39"/>
    <w:unhideWhenUsed/>
    <w:pPr>
      <w:pBdr/>
      <w:spacing w:after="100"/>
      <w:ind w:left="220"/>
    </w:pPr>
  </w:style>
  <w:style w:type="paragraph" w:styleId="1000">
    <w:name w:val="toc 3"/>
    <w:basedOn w:val="1010"/>
    <w:next w:val="1010"/>
    <w:uiPriority w:val="39"/>
    <w:unhideWhenUsed/>
    <w:pPr>
      <w:pBdr/>
      <w:spacing w:after="100"/>
      <w:ind w:left="440"/>
    </w:pPr>
  </w:style>
  <w:style w:type="paragraph" w:styleId="1001">
    <w:name w:val="toc 4"/>
    <w:basedOn w:val="1010"/>
    <w:next w:val="1010"/>
    <w:uiPriority w:val="39"/>
    <w:unhideWhenUsed/>
    <w:pPr>
      <w:pBdr/>
      <w:spacing w:after="100"/>
      <w:ind w:left="660"/>
    </w:pPr>
  </w:style>
  <w:style w:type="paragraph" w:styleId="1002">
    <w:name w:val="toc 5"/>
    <w:basedOn w:val="1010"/>
    <w:next w:val="1010"/>
    <w:uiPriority w:val="39"/>
    <w:unhideWhenUsed/>
    <w:pPr>
      <w:pBdr/>
      <w:spacing w:after="100"/>
      <w:ind w:left="880"/>
    </w:pPr>
  </w:style>
  <w:style w:type="paragraph" w:styleId="1003">
    <w:name w:val="toc 6"/>
    <w:basedOn w:val="1010"/>
    <w:next w:val="1010"/>
    <w:uiPriority w:val="39"/>
    <w:unhideWhenUsed/>
    <w:pPr>
      <w:pBdr/>
      <w:spacing w:after="100"/>
      <w:ind w:left="1100"/>
    </w:pPr>
  </w:style>
  <w:style w:type="paragraph" w:styleId="1004">
    <w:name w:val="toc 7"/>
    <w:basedOn w:val="1010"/>
    <w:next w:val="1010"/>
    <w:uiPriority w:val="39"/>
    <w:unhideWhenUsed/>
    <w:pPr>
      <w:pBdr/>
      <w:spacing w:after="100"/>
      <w:ind w:left="1320"/>
    </w:pPr>
  </w:style>
  <w:style w:type="paragraph" w:styleId="1005">
    <w:name w:val="toc 8"/>
    <w:basedOn w:val="1010"/>
    <w:next w:val="1010"/>
    <w:uiPriority w:val="39"/>
    <w:unhideWhenUsed/>
    <w:pPr>
      <w:pBdr/>
      <w:spacing w:after="100"/>
      <w:ind w:left="1540"/>
    </w:pPr>
  </w:style>
  <w:style w:type="paragraph" w:styleId="1006">
    <w:name w:val="toc 9"/>
    <w:basedOn w:val="1010"/>
    <w:next w:val="1010"/>
    <w:uiPriority w:val="39"/>
    <w:unhideWhenUsed/>
    <w:pPr>
      <w:pBdr/>
      <w:spacing w:after="100"/>
      <w:ind w:left="1760"/>
    </w:pPr>
  </w:style>
  <w:style w:type="character" w:styleId="1007">
    <w:name w:val="Placeholder Text"/>
    <w:basedOn w:val="1015"/>
    <w:uiPriority w:val="99"/>
    <w:semiHidden/>
    <w:pPr>
      <w:pBdr/>
      <w:spacing/>
      <w:ind/>
    </w:pPr>
    <w:rPr>
      <w:color w:val="666666"/>
    </w:rPr>
  </w:style>
  <w:style w:type="paragraph" w:styleId="1008">
    <w:name w:val="TOC Heading"/>
    <w:uiPriority w:val="39"/>
    <w:unhideWhenUsed/>
    <w:pPr>
      <w:pBdr/>
      <w:spacing/>
      <w:ind/>
    </w:pPr>
  </w:style>
  <w:style w:type="paragraph" w:styleId="1009">
    <w:name w:val="table of figures"/>
    <w:basedOn w:val="1010"/>
    <w:next w:val="1010"/>
    <w:uiPriority w:val="99"/>
    <w:unhideWhenUsed/>
    <w:pPr>
      <w:pBdr/>
      <w:spacing w:after="0" w:afterAutospacing="0"/>
      <w:ind/>
    </w:pPr>
  </w:style>
  <w:style w:type="paragraph" w:styleId="1010" w:default="1">
    <w:name w:val="Normal"/>
    <w:qFormat/>
    <w:pPr>
      <w:pBdr/>
      <w:spacing w:after="0" w:line="240" w:lineRule="auto"/>
      <w:ind/>
    </w:pPr>
    <w:rPr>
      <w:rFonts w:ascii="Times New Roman" w:hAnsi="Times New Roman" w:eastAsia="Times New Roman" w:cs="Times New Roman"/>
      <w:sz w:val="24"/>
      <w:szCs w:val="24"/>
    </w:rPr>
  </w:style>
  <w:style w:type="paragraph" w:styleId="1011">
    <w:name w:val="Heading 1"/>
    <w:basedOn w:val="1010"/>
    <w:next w:val="1010"/>
    <w:link w:val="1018"/>
    <w:qFormat/>
    <w:pPr>
      <w:keepNext w:val="true"/>
      <w:pBdr/>
      <w:spacing w:after="120" w:before="120"/>
      <w:ind/>
      <w:jc w:val="center"/>
      <w:outlineLvl w:val="0"/>
    </w:pPr>
    <w:rPr>
      <w:b/>
      <w:bCs/>
      <w:sz w:val="27"/>
      <w:szCs w:val="27"/>
    </w:rPr>
  </w:style>
  <w:style w:type="paragraph" w:styleId="1012">
    <w:name w:val="Heading 2"/>
    <w:basedOn w:val="1010"/>
    <w:next w:val="1010"/>
    <w:link w:val="1019"/>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3">
    <w:name w:val="Heading 3"/>
    <w:basedOn w:val="1010"/>
    <w:next w:val="1010"/>
    <w:link w:val="1020"/>
    <w:qFormat/>
    <w:pPr>
      <w:keepNext w:val="true"/>
      <w:pBdr/>
      <w:spacing w:before="60"/>
      <w:ind/>
      <w:outlineLvl w:val="2"/>
    </w:pPr>
    <w:rPr>
      <w:sz w:val="28"/>
      <w:szCs w:val="28"/>
    </w:rPr>
  </w:style>
  <w:style w:type="paragraph" w:styleId="1014">
    <w:name w:val="Heading 4"/>
    <w:basedOn w:val="1010"/>
    <w:next w:val="1010"/>
    <w:link w:val="1021"/>
    <w:qFormat/>
    <w:pPr>
      <w:keepNext w:val="true"/>
      <w:pBdr/>
      <w:spacing/>
      <w:ind/>
      <w:jc w:val="center"/>
      <w:outlineLvl w:val="3"/>
    </w:pPr>
    <w:rPr>
      <w:b/>
      <w:bCs/>
    </w:rPr>
  </w:style>
  <w:style w:type="character" w:styleId="1015" w:default="1">
    <w:name w:val="Default Paragraph Font"/>
    <w:uiPriority w:val="1"/>
    <w:semiHidden/>
    <w:unhideWhenUsed/>
    <w:pPr>
      <w:pBdr/>
      <w:spacing/>
      <w:ind/>
    </w:pPr>
  </w:style>
  <w:style w:type="table" w:styleId="1016"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7" w:default="1">
    <w:name w:val="No List"/>
    <w:uiPriority w:val="99"/>
    <w:semiHidden/>
    <w:unhideWhenUsed/>
    <w:pPr>
      <w:pBdr/>
      <w:spacing/>
      <w:ind/>
    </w:pPr>
  </w:style>
  <w:style w:type="character" w:styleId="1018" w:customStyle="1">
    <w:name w:val="Heading 1 Char"/>
    <w:basedOn w:val="1015"/>
    <w:link w:val="1011"/>
    <w:pPr>
      <w:pBdr/>
      <w:spacing/>
      <w:ind/>
    </w:pPr>
    <w:rPr>
      <w:rFonts w:ascii="Times New Roman" w:hAnsi="Times New Roman" w:eastAsia="Times New Roman" w:cs="Times New Roman"/>
      <w:b/>
      <w:bCs/>
      <w:sz w:val="27"/>
      <w:szCs w:val="27"/>
    </w:rPr>
  </w:style>
  <w:style w:type="character" w:styleId="1019" w:customStyle="1">
    <w:name w:val="Heading 2 Char"/>
    <w:basedOn w:val="1015"/>
    <w:link w:val="1012"/>
    <w:uiPriority w:val="9"/>
    <w:pPr>
      <w:pBdr/>
      <w:spacing/>
      <w:ind/>
    </w:pPr>
    <w:rPr>
      <w:rFonts w:asciiTheme="majorHAnsi" w:hAnsiTheme="majorHAnsi" w:eastAsiaTheme="majorEastAsia" w:cstheme="majorBidi"/>
      <w:color w:val="365f91" w:themeColor="accent1" w:themeShade="BF"/>
      <w:sz w:val="26"/>
      <w:szCs w:val="26"/>
    </w:rPr>
  </w:style>
  <w:style w:type="character" w:styleId="1020" w:customStyle="1">
    <w:name w:val="Heading 3 Char"/>
    <w:basedOn w:val="1015"/>
    <w:link w:val="1013"/>
    <w:pPr>
      <w:pBdr/>
      <w:spacing/>
      <w:ind/>
    </w:pPr>
    <w:rPr>
      <w:rFonts w:ascii="Times New Roman" w:hAnsi="Times New Roman" w:eastAsia="Times New Roman" w:cs="Times New Roman"/>
      <w:sz w:val="28"/>
      <w:szCs w:val="28"/>
    </w:rPr>
  </w:style>
  <w:style w:type="character" w:styleId="1021" w:customStyle="1">
    <w:name w:val="Heading 4 Char"/>
    <w:basedOn w:val="1015"/>
    <w:link w:val="1014"/>
    <w:pPr>
      <w:pBdr/>
      <w:spacing/>
      <w:ind/>
    </w:pPr>
    <w:rPr>
      <w:rFonts w:ascii="Times New Roman" w:hAnsi="Times New Roman" w:eastAsia="Times New Roman" w:cs="Times New Roman"/>
      <w:b/>
      <w:bCs/>
      <w:sz w:val="24"/>
      <w:szCs w:val="24"/>
    </w:rPr>
  </w:style>
  <w:style w:type="character" w:styleId="1022">
    <w:name w:val="Hyperlink"/>
    <w:uiPriority w:val="99"/>
    <w:pPr>
      <w:pBdr/>
      <w:spacing/>
      <w:ind/>
    </w:pPr>
    <w:rPr>
      <w:color w:val="000000"/>
      <w:u w:val="single"/>
    </w:rPr>
  </w:style>
  <w:style w:type="character" w:styleId="1023">
    <w:name w:val="Strong"/>
    <w:uiPriority w:val="22"/>
    <w:qFormat/>
    <w:pPr>
      <w:pBdr/>
      <w:spacing/>
      <w:ind/>
    </w:pPr>
    <w:rPr>
      <w:b/>
      <w:bCs/>
    </w:rPr>
  </w:style>
  <w:style w:type="paragraph" w:styleId="1024">
    <w:name w:val="Balloon Text"/>
    <w:basedOn w:val="1010"/>
    <w:link w:val="1025"/>
    <w:uiPriority w:val="99"/>
    <w:semiHidden/>
    <w:unhideWhenUsed/>
    <w:pPr>
      <w:pBdr/>
      <w:spacing/>
      <w:ind/>
    </w:pPr>
    <w:rPr>
      <w:rFonts w:ascii="Tahoma" w:hAnsi="Tahoma" w:cs="Tahoma"/>
      <w:sz w:val="16"/>
      <w:szCs w:val="16"/>
    </w:rPr>
  </w:style>
  <w:style w:type="character" w:styleId="1025" w:customStyle="1">
    <w:name w:val="Balloon Text Char"/>
    <w:basedOn w:val="1015"/>
    <w:link w:val="1024"/>
    <w:uiPriority w:val="99"/>
    <w:semiHidden/>
    <w:pPr>
      <w:pBdr/>
      <w:spacing/>
      <w:ind/>
    </w:pPr>
    <w:rPr>
      <w:rFonts w:ascii="Tahoma" w:hAnsi="Tahoma" w:eastAsia="Times New Roman" w:cs="Tahoma"/>
      <w:sz w:val="16"/>
      <w:szCs w:val="16"/>
    </w:rPr>
  </w:style>
  <w:style w:type="paragraph" w:styleId="1026">
    <w:name w:val="Header"/>
    <w:basedOn w:val="1010"/>
    <w:link w:val="1027"/>
    <w:unhideWhenUsed/>
    <w:pPr>
      <w:pBdr/>
      <w:tabs>
        <w:tab w:val="center" w:leader="none" w:pos="4680"/>
        <w:tab w:val="right" w:leader="none" w:pos="9360"/>
      </w:tabs>
      <w:spacing/>
      <w:ind/>
    </w:pPr>
  </w:style>
  <w:style w:type="character" w:styleId="1027" w:customStyle="1">
    <w:name w:val="Header Char"/>
    <w:basedOn w:val="1015"/>
    <w:link w:val="1026"/>
    <w:pPr>
      <w:pBdr/>
      <w:spacing/>
      <w:ind/>
    </w:pPr>
    <w:rPr>
      <w:rFonts w:ascii="Times New Roman" w:hAnsi="Times New Roman" w:eastAsia="Times New Roman" w:cs="Times New Roman"/>
      <w:sz w:val="24"/>
      <w:szCs w:val="24"/>
    </w:rPr>
  </w:style>
  <w:style w:type="paragraph" w:styleId="1028">
    <w:name w:val="Footer"/>
    <w:basedOn w:val="1010"/>
    <w:link w:val="1029"/>
    <w:uiPriority w:val="99"/>
    <w:unhideWhenUsed/>
    <w:pPr>
      <w:pBdr/>
      <w:tabs>
        <w:tab w:val="center" w:leader="none" w:pos="4680"/>
        <w:tab w:val="right" w:leader="none" w:pos="9360"/>
      </w:tabs>
      <w:spacing/>
      <w:ind/>
    </w:pPr>
  </w:style>
  <w:style w:type="character" w:styleId="1029" w:customStyle="1">
    <w:name w:val="Footer Char"/>
    <w:basedOn w:val="1015"/>
    <w:link w:val="1028"/>
    <w:uiPriority w:val="99"/>
    <w:pPr>
      <w:pBdr/>
      <w:spacing/>
      <w:ind/>
    </w:pPr>
    <w:rPr>
      <w:rFonts w:ascii="Times New Roman" w:hAnsi="Times New Roman" w:eastAsia="Times New Roman" w:cs="Times New Roman"/>
      <w:sz w:val="24"/>
      <w:szCs w:val="24"/>
    </w:rPr>
  </w:style>
  <w:style w:type="character" w:styleId="1030" w:customStyle="1">
    <w:name w:val="normal-h1"/>
    <w:pPr>
      <w:pBdr/>
      <w:spacing/>
      <w:ind/>
    </w:pPr>
    <w:rPr>
      <w:rFonts w:hint="default" w:ascii=".VnTime" w:hAnsi=".VnTime"/>
      <w:color w:val="0000ff"/>
      <w:sz w:val="24"/>
      <w:szCs w:val="24"/>
    </w:rPr>
  </w:style>
  <w:style w:type="paragraph" w:styleId="1031" w:customStyle="1">
    <w:name w:val="normal-p"/>
    <w:basedOn w:val="1010"/>
    <w:pPr>
      <w:pBdr/>
      <w:spacing/>
      <w:ind/>
      <w:jc w:val="both"/>
    </w:pPr>
    <w:rPr>
      <w:sz w:val="20"/>
      <w:szCs w:val="20"/>
    </w:rPr>
  </w:style>
  <w:style w:type="paragraph" w:styleId="1032">
    <w:name w:val="List Paragraph"/>
    <w:basedOn w:val="1010"/>
    <w:link w:val="1119"/>
    <w:uiPriority w:val="34"/>
    <w:qFormat/>
    <w:pPr>
      <w:pBdr/>
      <w:spacing/>
      <w:ind w:left="720"/>
    </w:pPr>
  </w:style>
  <w:style w:type="paragraph" w:styleId="1033">
    <w:name w:val="Normal (Web)"/>
    <w:basedOn w:val="1010"/>
    <w:uiPriority w:val="99"/>
    <w:pPr>
      <w:pBdr/>
      <w:spacing w:after="100" w:afterAutospacing="1" w:before="100" w:beforeAutospacing="1"/>
      <w:ind/>
    </w:pPr>
  </w:style>
  <w:style w:type="paragraph" w:styleId="1034">
    <w:name w:val="Body Text"/>
    <w:basedOn w:val="1010"/>
    <w:link w:val="1035"/>
    <w:pPr>
      <w:pBdr/>
      <w:spacing w:after="120"/>
      <w:ind/>
      <w:jc w:val="both"/>
    </w:pPr>
  </w:style>
  <w:style w:type="character" w:styleId="1035" w:customStyle="1">
    <w:name w:val="Body Text Char"/>
    <w:basedOn w:val="1015"/>
    <w:link w:val="1034"/>
    <w:pPr>
      <w:pBdr/>
      <w:spacing/>
      <w:ind/>
    </w:pPr>
    <w:rPr>
      <w:rFonts w:ascii="Times New Roman" w:hAnsi="Times New Roman" w:eastAsia="Times New Roman" w:cs="Times New Roman"/>
      <w:sz w:val="24"/>
      <w:szCs w:val="24"/>
    </w:rPr>
  </w:style>
  <w:style w:type="table" w:styleId="1036">
    <w:name w:val="Table Grid"/>
    <w:basedOn w:val="1016"/>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7"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8">
    <w:name w:val="annotation reference"/>
    <w:basedOn w:val="1015"/>
    <w:uiPriority w:val="99"/>
    <w:semiHidden/>
    <w:unhideWhenUsed/>
    <w:pPr>
      <w:pBdr/>
      <w:spacing/>
      <w:ind/>
    </w:pPr>
    <w:rPr>
      <w:sz w:val="16"/>
      <w:szCs w:val="16"/>
    </w:rPr>
  </w:style>
  <w:style w:type="paragraph" w:styleId="1039">
    <w:name w:val="annotation text"/>
    <w:basedOn w:val="1010"/>
    <w:link w:val="1040"/>
    <w:uiPriority w:val="99"/>
    <w:unhideWhenUsed/>
    <w:pPr>
      <w:pBdr/>
      <w:spacing/>
      <w:ind/>
    </w:pPr>
    <w:rPr>
      <w:sz w:val="20"/>
      <w:szCs w:val="20"/>
    </w:rPr>
  </w:style>
  <w:style w:type="character" w:styleId="1040" w:customStyle="1">
    <w:name w:val="Comment Text Char"/>
    <w:basedOn w:val="1015"/>
    <w:link w:val="1039"/>
    <w:uiPriority w:val="99"/>
    <w:pPr>
      <w:pBdr/>
      <w:spacing/>
      <w:ind/>
    </w:pPr>
    <w:rPr>
      <w:rFonts w:ascii="Times New Roman" w:hAnsi="Times New Roman" w:eastAsia="Times New Roman" w:cs="Times New Roman"/>
      <w:sz w:val="20"/>
      <w:szCs w:val="20"/>
    </w:rPr>
  </w:style>
  <w:style w:type="paragraph" w:styleId="1041">
    <w:name w:val="annotation subject"/>
    <w:basedOn w:val="1039"/>
    <w:next w:val="1039"/>
    <w:link w:val="1042"/>
    <w:uiPriority w:val="99"/>
    <w:semiHidden/>
    <w:unhideWhenUsed/>
    <w:pPr>
      <w:pBdr/>
      <w:spacing/>
      <w:ind/>
    </w:pPr>
    <w:rPr>
      <w:b/>
      <w:bCs/>
    </w:rPr>
  </w:style>
  <w:style w:type="character" w:styleId="1042" w:customStyle="1">
    <w:name w:val="Comment Subject Char"/>
    <w:basedOn w:val="1040"/>
    <w:link w:val="1041"/>
    <w:uiPriority w:val="99"/>
    <w:semiHidden/>
    <w:pPr>
      <w:pBdr/>
      <w:spacing/>
      <w:ind/>
    </w:pPr>
    <w:rPr>
      <w:rFonts w:ascii="Times New Roman" w:hAnsi="Times New Roman" w:eastAsia="Times New Roman" w:cs="Times New Roman"/>
      <w:b/>
      <w:bCs/>
      <w:sz w:val="20"/>
      <w:szCs w:val="20"/>
    </w:rPr>
  </w:style>
  <w:style w:type="paragraph" w:styleId="1043" w:customStyle="1">
    <w:name w:val="font5"/>
    <w:basedOn w:val="1010"/>
    <w:pPr>
      <w:pBdr/>
      <w:spacing w:after="100" w:afterAutospacing="1" w:before="100" w:beforeAutospacing="1"/>
      <w:ind/>
    </w:pPr>
    <w:rPr>
      <w:rFonts w:ascii="Tahoma" w:hAnsi="Tahoma" w:cs="Tahoma"/>
      <w:color w:val="000000"/>
      <w:sz w:val="18"/>
      <w:szCs w:val="18"/>
    </w:rPr>
  </w:style>
  <w:style w:type="paragraph" w:styleId="1044" w:customStyle="1">
    <w:name w:val="font6"/>
    <w:basedOn w:val="1010"/>
    <w:pPr>
      <w:pBdr/>
      <w:spacing w:after="100" w:afterAutospacing="1" w:before="100" w:beforeAutospacing="1"/>
      <w:ind/>
    </w:pPr>
    <w:rPr>
      <w:rFonts w:ascii="Tahoma" w:hAnsi="Tahoma" w:cs="Tahoma"/>
      <w:b/>
      <w:bCs/>
      <w:color w:val="000000"/>
      <w:sz w:val="18"/>
      <w:szCs w:val="18"/>
    </w:rPr>
  </w:style>
  <w:style w:type="paragraph" w:styleId="1045" w:customStyle="1">
    <w:name w:val="xl233"/>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6" w:customStyle="1">
    <w:name w:val="xl234"/>
    <w:basedOn w:val="1010"/>
    <w:pPr>
      <w:pBdr/>
      <w:spacing w:after="100" w:afterAutospacing="1" w:before="100" w:beforeAutospacing="1"/>
      <w:ind/>
      <w:jc w:val="center"/>
    </w:pPr>
  </w:style>
  <w:style w:type="paragraph" w:styleId="1047" w:customStyle="1">
    <w:name w:val="xl235"/>
    <w:basedOn w:val="1010"/>
    <w:pPr>
      <w:pBdr/>
      <w:spacing w:after="100" w:afterAutospacing="1" w:before="100" w:beforeAutospacing="1"/>
      <w:ind/>
      <w:jc w:val="center"/>
    </w:pPr>
    <w:rPr>
      <w:b/>
      <w:bCs/>
    </w:rPr>
  </w:style>
  <w:style w:type="paragraph" w:styleId="1048" w:customStyle="1">
    <w:name w:val="xl236"/>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9" w:customStyle="1">
    <w:name w:val="xl237"/>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0" w:customStyle="1">
    <w:name w:val="xl238"/>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1" w:customStyle="1">
    <w:name w:val="xl239"/>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2" w:customStyle="1">
    <w:name w:val="xl240"/>
    <w:basedOn w:val="1010"/>
    <w:pPr>
      <w:pBdr/>
      <w:spacing w:after="100" w:afterAutospacing="1" w:before="100" w:beforeAutospacing="1"/>
      <w:ind/>
    </w:pPr>
  </w:style>
  <w:style w:type="paragraph" w:styleId="1053" w:customStyle="1">
    <w:name w:val="xl241"/>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4" w:customStyle="1">
    <w:name w:val="xl242"/>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5" w:customStyle="1">
    <w:name w:val="xl243"/>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6" w:customStyle="1">
    <w:name w:val="xl244"/>
    <w:basedOn w:val="1010"/>
    <w:pPr>
      <w:pBdr/>
      <w:spacing w:after="100" w:afterAutospacing="1" w:before="100" w:beforeAutospacing="1"/>
      <w:ind/>
    </w:pPr>
    <w:rPr>
      <w:b/>
      <w:bCs/>
    </w:rPr>
  </w:style>
  <w:style w:type="paragraph" w:styleId="1057" w:customStyle="1">
    <w:name w:val="xl245"/>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8" w:customStyle="1">
    <w:name w:val="xl246"/>
    <w:basedOn w:val="1010"/>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9" w:customStyle="1">
    <w:name w:val="xl247"/>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0" w:customStyle="1">
    <w:name w:val="xl248"/>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1" w:customStyle="1">
    <w:name w:val="xl249"/>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2" w:customStyle="1">
    <w:name w:val="xl250"/>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3" w:customStyle="1">
    <w:name w:val="xl251"/>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52"/>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3"/>
    <w:basedOn w:val="1010"/>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4"/>
    <w:basedOn w:val="1010"/>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55"/>
    <w:basedOn w:val="1010"/>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56"/>
    <w:basedOn w:val="1010"/>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9" w:customStyle="1">
    <w:name w:val="xl257"/>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8"/>
    <w:basedOn w:val="1010"/>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59"/>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2" w:customStyle="1">
    <w:name w:val="xl260"/>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3" w:customStyle="1">
    <w:name w:val="xl261"/>
    <w:basedOn w:val="1010"/>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4" w:customStyle="1">
    <w:name w:val="xl262"/>
    <w:basedOn w:val="1010"/>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63"/>
    <w:basedOn w:val="1010"/>
    <w:pPr>
      <w:pBdr/>
      <w:shd w:val="clear" w:color="000000" w:fill="ffffff"/>
      <w:spacing w:after="100" w:afterAutospacing="1" w:before="100" w:beforeAutospacing="1"/>
      <w:ind/>
    </w:pPr>
  </w:style>
  <w:style w:type="paragraph" w:styleId="1076" w:customStyle="1">
    <w:name w:val="xl264"/>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65"/>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8" w:customStyle="1">
    <w:name w:val="xl266"/>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9" w:customStyle="1">
    <w:name w:val="xl267"/>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0" w:customStyle="1">
    <w:name w:val="xl268"/>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1" w:customStyle="1">
    <w:name w:val="xl269"/>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2" w:customStyle="1">
    <w:name w:val="xl270"/>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3" w:customStyle="1">
    <w:name w:val="xl271"/>
    <w:basedOn w:val="1010"/>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4" w:customStyle="1">
    <w:name w:val="xl272"/>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5" w:customStyle="1">
    <w:name w:val="xl273"/>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6" w:customStyle="1">
    <w:name w:val="xl274"/>
    <w:basedOn w:val="1010"/>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7" w:customStyle="1">
    <w:name w:val="xl275"/>
    <w:basedOn w:val="1010"/>
    <w:pPr>
      <w:pBdr/>
      <w:spacing w:after="100" w:afterAutospacing="1" w:before="100" w:beforeAutospacing="1"/>
      <w:ind/>
    </w:pPr>
  </w:style>
  <w:style w:type="paragraph" w:styleId="1088" w:customStyle="1">
    <w:name w:val="xl276"/>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9" w:customStyle="1">
    <w:name w:val="xl277"/>
    <w:basedOn w:val="1010"/>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0" w:customStyle="1">
    <w:name w:val="xl278"/>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79"/>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0"/>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3" w:customStyle="1">
    <w:name w:val="xl281"/>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4" w:customStyle="1">
    <w:name w:val="xl282"/>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5" w:customStyle="1">
    <w:name w:val="xl283"/>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4"/>
    <w:basedOn w:val="1010"/>
    <w:pPr>
      <w:pBdr>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5"/>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86"/>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9" w:customStyle="1">
    <w:name w:val="xl287"/>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88"/>
    <w:basedOn w:val="1010"/>
    <w:pPr>
      <w:pBdr>
        <w:top w:val="single" w:color="000000" w:sz="4" w:space="0"/>
        <w:left w:val="single" w:color="000000" w:sz="4" w:space="0"/>
        <w:right w:val="single" w:color="000000" w:sz="4" w:space="0"/>
      </w:pBdr>
      <w:spacing w:after="100" w:afterAutospacing="1" w:before="100" w:beforeAutospacing="1"/>
      <w:ind/>
    </w:pPr>
  </w:style>
  <w:style w:type="paragraph" w:styleId="1101" w:customStyle="1">
    <w:name w:val="xl289"/>
    <w:basedOn w:val="1010"/>
    <w:pPr>
      <w:pBdr>
        <w:left w:val="single" w:color="000000" w:sz="4" w:space="0"/>
        <w:right w:val="single" w:color="000000" w:sz="4" w:space="0"/>
      </w:pBdr>
      <w:spacing w:after="100" w:afterAutospacing="1" w:before="100" w:beforeAutospacing="1"/>
      <w:ind/>
    </w:pPr>
    <w:rPr>
      <w:b/>
      <w:bCs/>
    </w:rPr>
  </w:style>
  <w:style w:type="paragraph" w:styleId="1102" w:customStyle="1">
    <w:name w:val="xl290"/>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3" w:customStyle="1">
    <w:name w:val="xl291"/>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4" w:customStyle="1">
    <w:name w:val="xl292"/>
    <w:basedOn w:val="1010"/>
    <w:pPr>
      <w:pBdr>
        <w:top w:val="single" w:color="000000" w:sz="4" w:space="0"/>
        <w:left w:val="single" w:color="000000" w:sz="4" w:space="0"/>
        <w:right w:val="single" w:color="000000" w:sz="4" w:space="0"/>
      </w:pBdr>
      <w:spacing w:after="100" w:afterAutospacing="1" w:before="100" w:beforeAutospacing="1"/>
      <w:ind/>
    </w:pPr>
  </w:style>
  <w:style w:type="paragraph" w:styleId="1105" w:customStyle="1">
    <w:name w:val="xl293"/>
    <w:basedOn w:val="1010"/>
    <w:pPr>
      <w:pBdr>
        <w:left w:val="single" w:color="000000" w:sz="4" w:space="0"/>
        <w:bottom w:val="single" w:color="000000" w:sz="4" w:space="0"/>
        <w:right w:val="single" w:color="000000" w:sz="4" w:space="0"/>
      </w:pBdr>
      <w:spacing w:after="100" w:afterAutospacing="1" w:before="100" w:beforeAutospacing="1"/>
      <w:ind/>
    </w:pPr>
  </w:style>
  <w:style w:type="paragraph" w:styleId="1106" w:customStyle="1">
    <w:name w:val="xl294"/>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7">
    <w:name w:val="Title"/>
    <w:basedOn w:val="1010"/>
    <w:link w:val="1108"/>
    <w:qFormat/>
    <w:pPr>
      <w:pBdr/>
      <w:spacing/>
      <w:ind/>
      <w:jc w:val="center"/>
    </w:pPr>
    <w:rPr>
      <w:b/>
      <w:bCs/>
      <w:sz w:val="32"/>
      <w:szCs w:val="26"/>
    </w:rPr>
  </w:style>
  <w:style w:type="character" w:styleId="1108" w:customStyle="1">
    <w:name w:val="Title Char"/>
    <w:basedOn w:val="1015"/>
    <w:link w:val="1107"/>
    <w:pPr>
      <w:pBdr/>
      <w:spacing/>
      <w:ind/>
    </w:pPr>
    <w:rPr>
      <w:rFonts w:ascii="Times New Roman" w:hAnsi="Times New Roman" w:eastAsia="Times New Roman" w:cs="Times New Roman"/>
      <w:b/>
      <w:bCs/>
      <w:sz w:val="32"/>
      <w:szCs w:val="26"/>
    </w:rPr>
  </w:style>
  <w:style w:type="character" w:styleId="1109" w:customStyle="1">
    <w:name w:val="Unresolved Mention1"/>
    <w:basedOn w:val="1015"/>
    <w:uiPriority w:val="99"/>
    <w:semiHidden/>
    <w:unhideWhenUsed/>
    <w:pPr>
      <w:pBdr/>
      <w:spacing/>
      <w:ind/>
    </w:pPr>
    <w:rPr>
      <w:color w:val="605e5c"/>
      <w:shd w:val="clear" w:color="auto" w:fill="e1dfdd"/>
    </w:rPr>
  </w:style>
  <w:style w:type="character" w:styleId="1110" w:customStyle="1">
    <w:name w:val="Body text (3)_"/>
    <w:link w:val="1111"/>
    <w:pPr>
      <w:pBdr/>
      <w:spacing/>
      <w:ind/>
    </w:pPr>
    <w:rPr>
      <w:rFonts w:ascii="Times New Roman" w:hAnsi="Times New Roman" w:cs="Times New Roman"/>
      <w:i/>
      <w:iCs/>
      <w:spacing w:val="4"/>
      <w:shd w:val="clear" w:color="auto" w:fill="ffffff"/>
    </w:rPr>
  </w:style>
  <w:style w:type="paragraph" w:styleId="1111" w:customStyle="1">
    <w:name w:val="Body text (3)1"/>
    <w:basedOn w:val="1010"/>
    <w:link w:val="1110"/>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2" w:customStyle="1">
    <w:name w:val="t-j"/>
    <w:basedOn w:val="1010"/>
    <w:pPr>
      <w:pBdr/>
      <w:spacing w:after="100" w:afterAutospacing="1" w:before="100" w:beforeAutospacing="1"/>
      <w:ind/>
    </w:pPr>
  </w:style>
  <w:style w:type="character" w:styleId="1113" w:customStyle="1">
    <w:name w:val="Unresolved Mention2"/>
    <w:basedOn w:val="1015"/>
    <w:uiPriority w:val="99"/>
    <w:semiHidden/>
    <w:unhideWhenUsed/>
    <w:pPr>
      <w:pBdr/>
      <w:spacing/>
      <w:ind/>
    </w:pPr>
    <w:rPr>
      <w:color w:val="605e5c"/>
      <w:shd w:val="clear" w:color="auto" w:fill="e1dfdd"/>
    </w:rPr>
  </w:style>
  <w:style w:type="character" w:styleId="1114">
    <w:name w:val="FollowedHyperlink"/>
    <w:basedOn w:val="1015"/>
    <w:uiPriority w:val="99"/>
    <w:semiHidden/>
    <w:unhideWhenUsed/>
    <w:pPr>
      <w:pBdr/>
      <w:spacing/>
      <w:ind/>
    </w:pPr>
    <w:rPr>
      <w:color w:val="800080" w:themeColor="followedHyperlink"/>
      <w:u w:val="single"/>
    </w:rPr>
  </w:style>
  <w:style w:type="character" w:styleId="1115" w:customStyle="1">
    <w:name w:val="text"/>
    <w:basedOn w:val="1015"/>
    <w:pPr>
      <w:pBdr/>
      <w:spacing/>
      <w:ind/>
    </w:pPr>
  </w:style>
  <w:style w:type="character" w:styleId="1116" w:customStyle="1">
    <w:name w:val="card-send-time__sendtime"/>
    <w:basedOn w:val="1015"/>
    <w:pPr>
      <w:pBdr/>
      <w:spacing/>
      <w:ind/>
    </w:pPr>
  </w:style>
  <w:style w:type="character" w:styleId="1117" w:customStyle="1">
    <w:name w:val="Đề cập Chưa giải quyết1"/>
    <w:basedOn w:val="1015"/>
    <w:uiPriority w:val="99"/>
    <w:semiHidden/>
    <w:unhideWhenUsed/>
    <w:pPr>
      <w:pBdr/>
      <w:spacing/>
      <w:ind/>
    </w:pPr>
    <w:rPr>
      <w:color w:val="605e5c"/>
      <w:shd w:val="clear" w:color="auto" w:fill="e1dfdd"/>
    </w:rPr>
  </w:style>
  <w:style w:type="paragraph" w:styleId="1118" w:customStyle="1">
    <w:name w:val="nqtitle"/>
    <w:basedOn w:val="1010"/>
    <w:pPr>
      <w:pBdr/>
      <w:spacing w:after="100" w:afterAutospacing="1" w:before="100" w:beforeAutospacing="1"/>
      <w:ind/>
    </w:pPr>
    <w:rPr>
      <w:lang w:val="vi-VN" w:eastAsia="vi-VN"/>
    </w:rPr>
  </w:style>
  <w:style w:type="character" w:styleId="1119" w:customStyle="1">
    <w:name w:val="List Paragraph Char"/>
    <w:link w:val="1032"/>
    <w:uiPriority w:val="34"/>
    <w:qFormat/>
    <w:pPr>
      <w:pBdr/>
      <w:spacing/>
      <w:ind/>
    </w:pPr>
    <w:rPr>
      <w:rFonts w:ascii="Times New Roman" w:hAnsi="Times New Roman" w:eastAsia="Times New Roman" w:cs="Times New Roman"/>
      <w:sz w:val="24"/>
      <w:szCs w:val="24"/>
    </w:rPr>
  </w:style>
  <w:style w:type="character" w:styleId="1120" w:customStyle="1">
    <w:name w:val="Đề cập Chưa giải quyết2"/>
    <w:basedOn w:val="1015"/>
    <w:uiPriority w:val="99"/>
    <w:semiHidden/>
    <w:unhideWhenUsed/>
    <w:pPr>
      <w:pBdr/>
      <w:spacing/>
      <w:ind/>
    </w:pPr>
    <w:rPr>
      <w:color w:val="605e5c"/>
      <w:shd w:val="clear" w:color="auto" w:fill="e1dfdd"/>
    </w:rPr>
  </w:style>
  <w:style w:type="character" w:styleId="1121" w:customStyle="1">
    <w:name w:val="Unresolved Mention3"/>
    <w:basedOn w:val="1015"/>
    <w:uiPriority w:val="99"/>
    <w:semiHidden/>
    <w:unhideWhenUsed/>
    <w:pPr>
      <w:pBdr/>
      <w:spacing/>
      <w:ind/>
    </w:pPr>
    <w:rPr>
      <w:color w:val="605e5c"/>
      <w:shd w:val="clear" w:color="auto" w:fill="e1dfdd"/>
    </w:rPr>
  </w:style>
  <w:style w:type="character" w:styleId="1122" w:customStyle="1">
    <w:name w:val="copy"/>
    <w:basedOn w:val="1015"/>
    <w:pPr>
      <w:pBdr/>
      <w:spacing/>
      <w:ind/>
    </w:pPr>
  </w:style>
  <w:style w:type="paragraph" w:styleId="1123" w:customStyle="1">
    <w:name w:val="align-justify"/>
    <w:basedOn w:val="1010"/>
    <w:pPr>
      <w:pBdr/>
      <w:spacing w:after="100" w:afterAutospacing="1" w:before="100" w:beforeAutospacing="1"/>
      <w:ind/>
    </w:pPr>
  </w:style>
  <w:style w:type="character" w:styleId="1124" w:customStyle="1">
    <w:name w:val="btn"/>
    <w:basedOn w:val="1015"/>
    <w:pPr>
      <w:pBdr/>
      <w:spacing/>
      <w:ind/>
    </w:pPr>
  </w:style>
  <w:style w:type="character" w:styleId="1125" w:customStyle="1">
    <w:name w:val="hide_mobile"/>
    <w:basedOn w:val="1015"/>
    <w:pPr>
      <w:pBdr/>
      <w:spacing/>
      <w:ind/>
    </w:pPr>
  </w:style>
  <w:style w:type="character" w:styleId="1126">
    <w:name w:val="Emphasis"/>
    <w:basedOn w:val="1015"/>
    <w:uiPriority w:val="20"/>
    <w:qFormat/>
    <w:pPr>
      <w:pBdr/>
      <w:spacing/>
      <w:ind/>
    </w:pPr>
    <w:rPr>
      <w:i/>
      <w:iCs/>
    </w:rPr>
  </w:style>
  <w:style w:type="character" w:styleId="1127" w:customStyle="1">
    <w:name w:val="t1"/>
    <w:basedOn w:val="1015"/>
    <w:pPr>
      <w:pBdr/>
      <w:spacing/>
      <w:ind/>
    </w:pPr>
  </w:style>
  <w:style w:type="character" w:styleId="1128" w:customStyle="1">
    <w:name w:val="Unresolved Mention4"/>
    <w:basedOn w:val="1015"/>
    <w:uiPriority w:val="99"/>
    <w:semiHidden/>
    <w:unhideWhenUsed/>
    <w:pPr>
      <w:pBdr/>
      <w:spacing/>
      <w:ind/>
    </w:pPr>
    <w:rPr>
      <w:color w:val="605e5c"/>
      <w:shd w:val="clear" w:color="auto" w:fill="e1dfdd"/>
    </w:rPr>
  </w:style>
  <w:style w:type="character" w:styleId="1129" w:customStyle="1">
    <w:name w:val="Unresolved Mention5"/>
    <w:basedOn w:val="1015"/>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F0319-5BF7-4165-870F-69618ED4E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Chu Thế Hiển</cp:lastModifiedBy>
  <cp:revision>817</cp:revision>
  <dcterms:created xsi:type="dcterms:W3CDTF">2025-05-28T23:19:00Z</dcterms:created>
  <dcterms:modified xsi:type="dcterms:W3CDTF">2026-02-10T10:37:04Z</dcterms:modified>
</cp:coreProperties>
</file>