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78785</wp:posOffset>
                </wp:positionH>
                <wp:positionV relativeFrom="paragraph">
                  <wp:posOffset>200499</wp:posOffset>
                </wp:positionV>
                <wp:extent cx="5718810" cy="5248600"/>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718809" cy="524860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rFonts w:ascii="Times New Roman" w:hAnsi="Times New Roman" w:eastAsia="Times New Roman" w:cs="Times New Roman"/>
                                <w:b/>
                                <w:color w:val="000000"/>
                                <w:sz w:val="24"/>
                              </w:rPr>
                              <w:t xml:space="preserve">275/2026/1398/VFI-CT.44.A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w:hAnsi="Times New Roman" w:eastAsia="Times New Roman" w:cs="Times New Roman"/>
                                <w:b/>
                                <w:color w:val="000000"/>
                                <w:sz w:val="24"/>
                              </w:rPr>
                              <w:t xml:space="preserve">Ông Nguyễn Văn Vương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b/>
                              </w:rPr>
                            </w:pPr>
                            <w:r>
                              <w:rPr>
                                <w:b/>
                              </w:rPr>
                              <w:t xml:space="preserve">Tài sản thẩm </w:t>
                            </w:r>
                            <w:r>
                              <w:rPr>
                                <w:b/>
                              </w:rPr>
                              <w:t xml:space="preserve">định:</w:t>
                            </w:r>
                            <w:r>
                              <w:rPr>
                                <w:b/>
                              </w:rPr>
                            </w:r>
                            <w:r>
                              <w:rPr>
                                <w:b/>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thẩm định 01: </w:t>
                            </w:r>
                            <w:r>
                              <w:rPr>
                                <w:rFonts w:ascii="Times New Roman" w:hAnsi="Times New Roman" w:eastAsia="Times New Roman" w:cs="Times New Roman"/>
                                <w:color w:val="000000"/>
                                <w:sz w:val="24"/>
                              </w:rPr>
                              <w:t xml:space="preserve">Quyền sử dụng đất tại thửa đất số: 512, tờ bản đồ số: ./., có địa chỉ: Thôn Dương Ổ, xã Phong Khê, huyện Yên Phong, tỉnh Bắc Ninh (</w:t>
                            </w:r>
                            <w:r>
                              <w:rPr>
                                <w:rFonts w:ascii="Times New Roman" w:hAnsi="Times New Roman" w:eastAsia="Times New Roman" w:cs="Times New Roman"/>
                                <w:i/>
                                <w:color w:val="000000"/>
                                <w:sz w:val="24"/>
                              </w:rPr>
                              <w:t xml:space="preserve">nay là phường Võ Cường, thành phố Bắc Ninh</w:t>
                            </w:r>
                            <w:r>
                              <w:rPr>
                                <w:rFonts w:ascii="Times New Roman" w:hAnsi="Times New Roman" w:eastAsia="Times New Roman" w:cs="Times New Roman"/>
                                <w:color w:val="000000"/>
                                <w:sz w:val="24"/>
                              </w:rPr>
                              <w:t xml:space="preserve">) theo Giấy chứng nhận quyền sử dụng đất số: R 461077, Số vào sổ cấp GCN: 00177/QSDĐ/1201 do UBND huyện Yên Phong cấp ngày 10/10/2002; Chủ sử dụng đất là Ông Nguyễn Văn Vương;</w:t>
                            </w:r>
                            <w:r/>
                          </w:p>
                          <w:p>
                            <w:pPr>
                              <w:pBdr/>
                              <w:spacing w:after="120" w:before="120" w:line="360" w:lineRule="auto"/>
                              <w:ind/>
                              <w:jc w:val="both"/>
                              <w:rPr>
                                <w:b/>
                              </w:rPr>
                            </w:pPr>
                            <w:r>
                              <w:rPr>
                                <w:rFonts w:ascii="Times New Roman" w:hAnsi="Times New Roman" w:eastAsia="Times New Roman" w:cs="Times New Roman"/>
                                <w:b/>
                                <w:color w:val="000000"/>
                                <w:sz w:val="24"/>
                              </w:rPr>
                              <w:t xml:space="preserve">Tài sản thẩm định 02:</w:t>
                            </w:r>
                            <w:r>
                              <w:rPr>
                                <w:rFonts w:ascii="Times New Roman" w:hAnsi="Times New Roman" w:eastAsia="Times New Roman" w:cs="Times New Roman"/>
                                <w:color w:val="000000"/>
                                <w:sz w:val="24"/>
                              </w:rPr>
                              <w:t xml:space="preserve"> Quyền sử dụng đất và tài sản gắn liền với đất tại thửa đất số: 462, tờ bản đồ số: 24, có địa chỉ: Thôn Dương Ổ, xã Phong Khê, huyện Yên Phong, tỉnh Bắc Ninh (</w:t>
                            </w:r>
                            <w:r>
                              <w:rPr>
                                <w:rFonts w:ascii="Times New Roman" w:hAnsi="Times New Roman" w:eastAsia="Times New Roman" w:cs="Times New Roman"/>
                                <w:i/>
                                <w:color w:val="000000"/>
                                <w:sz w:val="24"/>
                              </w:rPr>
                              <w:t xml:space="preserve">nay là Phường Võ Cường, thành phố Bắc Ninh</w:t>
                            </w:r>
                            <w:r>
                              <w:rPr>
                                <w:rFonts w:ascii="Times New Roman" w:hAnsi="Times New Roman" w:eastAsia="Times New Roman" w:cs="Times New Roman"/>
                                <w:color w:val="000000"/>
                                <w:sz w:val="24"/>
                              </w:rPr>
                              <w:t xml:space="preserve">) theo Giấy chứng nhận quyền sử dụng đất số: X 399916, Số vào sổ cấp GCN: 00273 QSDĐ/285 do UBND huyện Yên Phong cấp ngày 22/3/2003; Chủ sử dụng đất </w:t>
                            </w:r>
                            <w:r>
                              <w:rPr>
                                <w:rFonts w:ascii="Times New Roman" w:hAnsi="Times New Roman" w:eastAsia="Times New Roman" w:cs="Times New Roman"/>
                                <w:color w:val="ff0000"/>
                                <w:sz w:val="24"/>
                              </w:rPr>
                              <w:t xml:space="preserve">là Hộ Ôn</w:t>
                            </w:r>
                            <w:r>
                              <w:rPr>
                                <w:rFonts w:ascii="Times New Roman" w:hAnsi="Times New Roman" w:eastAsia="Times New Roman" w:cs="Times New Roman"/>
                                <w:color w:val="000000"/>
                                <w:sz w:val="24"/>
                              </w:rPr>
                              <w:t xml:space="preserve">g Nguyễn Văn Vương</w:t>
                            </w:r>
                            <w:r>
                              <w:rPr>
                                <w:color w:val="000000"/>
                              </w:rPr>
                              <w:t xml:space="preserve">.</w:t>
                            </w:r>
                            <w:r>
                              <w:rPr>
                                <w:b/>
                              </w:rPr>
                            </w:r>
                            <w:r>
                              <w:rPr>
                                <w:b/>
                              </w:rPr>
                            </w:r>
                          </w:p>
                          <w:p>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09/2026</w:t>
                            </w:r>
                            <w:r>
                              <w:rPr>
                                <w:lang w:val="pt-BR"/>
                              </w:rPr>
                              <w:t xml:space="preserve">.</w:t>
                            </w:r>
                            <w:r>
                              <w:rPr>
                                <w:lang w:val="pt-BR"/>
                              </w:rPr>
                            </w:r>
                            <w:r>
                              <w:rPr>
                                <w:lang w:val="pt-BR"/>
                              </w:rPr>
                            </w:r>
                          </w:p>
                          <w:p>
                            <w:pPr>
                              <w:pBdr/>
                              <w:spacing w:after="120" w:before="120" w:line="360" w:lineRule="auto"/>
                              <w:ind/>
                              <w:jc w:val="center"/>
                              <w:rPr>
                                <w:bCs/>
                                <w:i/>
                                <w:iCs/>
                              </w:rPr>
                            </w:pPr>
                            <w:r>
                              <w:rPr>
                                <w:bCs/>
                                <w:i/>
                                <w:iCs/>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20pt;mso-position-horizontal:absolute;mso-position-vertical-relative:text;margin-top:15.79pt;mso-position-vertical:absolute;width:450.30pt;height:413.28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rFonts w:ascii="Times New Roman" w:hAnsi="Times New Roman" w:eastAsia="Times New Roman" w:cs="Times New Roman"/>
                          <w:b/>
                          <w:color w:val="000000"/>
                          <w:sz w:val="24"/>
                        </w:rPr>
                        <w:t xml:space="preserve">275/2026/1398/VFI-CT.44.A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w:hAnsi="Times New Roman" w:eastAsia="Times New Roman" w:cs="Times New Roman"/>
                          <w:b/>
                          <w:color w:val="000000"/>
                          <w:sz w:val="24"/>
                        </w:rPr>
                        <w:t xml:space="preserve">Ông Nguyễn Văn Vương</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center"/>
                        <w:rPr>
                          <w:b/>
                        </w:rPr>
                      </w:pPr>
                      <w:r>
                        <w:rPr>
                          <w:b/>
                        </w:rPr>
                        <w:t xml:space="preserve">Tài sản thẩm </w:t>
                      </w:r>
                      <w:r>
                        <w:rPr>
                          <w:b/>
                        </w:rPr>
                        <w:t xml:space="preserve">định:</w:t>
                      </w:r>
                      <w:r>
                        <w:rPr>
                          <w:b/>
                        </w:rPr>
                      </w:r>
                      <w:r>
                        <w:rPr>
                          <w:b/>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thẩm định 01: </w:t>
                      </w:r>
                      <w:r>
                        <w:rPr>
                          <w:rFonts w:ascii="Times New Roman" w:hAnsi="Times New Roman" w:eastAsia="Times New Roman" w:cs="Times New Roman"/>
                          <w:color w:val="000000"/>
                          <w:sz w:val="24"/>
                        </w:rPr>
                        <w:t xml:space="preserve">Quyền sử dụng đất tại thửa đất số: 512, tờ bản đồ số: ./., có địa chỉ: Thôn Dương Ổ, xã Phong Khê, huyện Yên Phong, tỉnh Bắc Ninh (</w:t>
                      </w:r>
                      <w:r>
                        <w:rPr>
                          <w:rFonts w:ascii="Times New Roman" w:hAnsi="Times New Roman" w:eastAsia="Times New Roman" w:cs="Times New Roman"/>
                          <w:i/>
                          <w:color w:val="000000"/>
                          <w:sz w:val="24"/>
                        </w:rPr>
                        <w:t xml:space="preserve">nay là phường Võ Cường, thành phố Bắc Ninh</w:t>
                      </w:r>
                      <w:r>
                        <w:rPr>
                          <w:rFonts w:ascii="Times New Roman" w:hAnsi="Times New Roman" w:eastAsia="Times New Roman" w:cs="Times New Roman"/>
                          <w:color w:val="000000"/>
                          <w:sz w:val="24"/>
                        </w:rPr>
                        <w:t xml:space="preserve">) theo Giấy chứng nhận quyền sử dụng đất số: R 461077, Số vào sổ cấp GCN: 00177/QSDĐ/1201 do UBND huyện Yên Phong cấp ngày 10/10/2002; Chủ sử dụng đất là Ông Nguyễn Văn Vương;</w:t>
                      </w:r>
                      <w:r/>
                    </w:p>
                    <w:p>
                      <w:pPr>
                        <w:pBdr/>
                        <w:spacing w:after="120" w:before="120" w:line="360" w:lineRule="auto"/>
                        <w:ind/>
                        <w:jc w:val="both"/>
                        <w:rPr>
                          <w:b/>
                        </w:rPr>
                      </w:pPr>
                      <w:r>
                        <w:rPr>
                          <w:rFonts w:ascii="Times New Roman" w:hAnsi="Times New Roman" w:eastAsia="Times New Roman" w:cs="Times New Roman"/>
                          <w:b/>
                          <w:color w:val="000000"/>
                          <w:sz w:val="24"/>
                        </w:rPr>
                        <w:t xml:space="preserve">Tài sản thẩm định 02:</w:t>
                      </w:r>
                      <w:r>
                        <w:rPr>
                          <w:rFonts w:ascii="Times New Roman" w:hAnsi="Times New Roman" w:eastAsia="Times New Roman" w:cs="Times New Roman"/>
                          <w:color w:val="000000"/>
                          <w:sz w:val="24"/>
                        </w:rPr>
                        <w:t xml:space="preserve"> Quyền sử dụng đất và tài sản gắn liền với đất tại thửa đất số: 462, tờ bản đồ số: 24, có địa chỉ: Thôn Dương Ổ, xã Phong Khê, huyện Yên Phong, tỉnh Bắc Ninh (</w:t>
                      </w:r>
                      <w:r>
                        <w:rPr>
                          <w:rFonts w:ascii="Times New Roman" w:hAnsi="Times New Roman" w:eastAsia="Times New Roman" w:cs="Times New Roman"/>
                          <w:i/>
                          <w:color w:val="000000"/>
                          <w:sz w:val="24"/>
                        </w:rPr>
                        <w:t xml:space="preserve">nay là Phường Võ Cường, thành phố Bắc Ninh</w:t>
                      </w:r>
                      <w:r>
                        <w:rPr>
                          <w:rFonts w:ascii="Times New Roman" w:hAnsi="Times New Roman" w:eastAsia="Times New Roman" w:cs="Times New Roman"/>
                          <w:color w:val="000000"/>
                          <w:sz w:val="24"/>
                        </w:rPr>
                        <w:t xml:space="preserve">) theo Giấy chứng nhận quyền sử dụng đất số: X 399916, Số vào sổ cấp GCN: 00273 QSDĐ/285 do UBND huyện Yên Phong cấp ngày 22/3/2003; Chủ sử dụng đất </w:t>
                      </w:r>
                      <w:r>
                        <w:rPr>
                          <w:rFonts w:ascii="Times New Roman" w:hAnsi="Times New Roman" w:eastAsia="Times New Roman" w:cs="Times New Roman"/>
                          <w:color w:val="ff0000"/>
                          <w:sz w:val="24"/>
                        </w:rPr>
                        <w:t xml:space="preserve">là Hộ Ôn</w:t>
                      </w:r>
                      <w:r>
                        <w:rPr>
                          <w:rFonts w:ascii="Times New Roman" w:hAnsi="Times New Roman" w:eastAsia="Times New Roman" w:cs="Times New Roman"/>
                          <w:color w:val="000000"/>
                          <w:sz w:val="24"/>
                        </w:rPr>
                        <w:t xml:space="preserve">g Nguyễn Văn Vương</w:t>
                      </w:r>
                      <w:r>
                        <w:rPr>
                          <w:color w:val="000000"/>
                        </w:rPr>
                        <w:t xml:space="preserve">.</w:t>
                      </w:r>
                      <w:r>
                        <w:rPr>
                          <w:b/>
                        </w:rPr>
                      </w:r>
                      <w:r>
                        <w:rPr>
                          <w:b/>
                        </w:rPr>
                      </w:r>
                    </w:p>
                    <w:p>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09/2026</w:t>
                      </w:r>
                      <w:r>
                        <w:rPr>
                          <w:lang w:val="pt-BR"/>
                        </w:rPr>
                        <w:t xml:space="preserve">.</w:t>
                      </w:r>
                      <w:r>
                        <w:rPr>
                          <w:lang w:val="pt-BR"/>
                        </w:rPr>
                      </w:r>
                      <w:r>
                        <w:rPr>
                          <w:lang w:val="pt-BR"/>
                        </w:rPr>
                      </w:r>
                    </w:p>
                    <w:p>
                      <w:pPr>
                        <w:pBdr/>
                        <w:spacing w:after="120" w:before="120" w:line="360" w:lineRule="auto"/>
                        <w:ind/>
                        <w:jc w:val="center"/>
                        <w:rPr>
                          <w:bCs/>
                          <w:i/>
                          <w:iCs/>
                        </w:rPr>
                      </w:pPr>
                      <w:r>
                        <w:rPr>
                          <w:bCs/>
                          <w:i/>
                          <w:iCs/>
                        </w:rPr>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7152"/>
        <w:gridCol w:w="2219"/>
      </w:tblGrid>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shd w:val="clear" w:color="auto" w:fill="auto"/>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Chứng thư thẩm định giá</w:t>
            </w:r>
            <w:r/>
          </w:p>
        </w:tc>
        <w:tc>
          <w:tcPr>
            <w:shd w:val="clear" w:color="auto" w:fill="auto"/>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1-4</w:t>
            </w:r>
            <w:r/>
          </w:p>
        </w:tc>
      </w:tr>
      <w:tr>
        <w:trPr/>
        <w:tc>
          <w:tcPr>
            <w:shd w:val="clear" w:color="auto" w:fill="auto"/>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Báo cáo thẩm định giá</w:t>
            </w:r>
            <w:r/>
          </w:p>
        </w:tc>
        <w:tc>
          <w:tcPr>
            <w:shd w:val="clear" w:color="auto" w:fill="auto"/>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4-29</w:t>
            </w:r>
            <w:r/>
          </w:p>
        </w:tc>
      </w:tr>
      <w:tr>
        <w:trPr/>
        <w:tc>
          <w:tcPr>
            <w:shd w:val="clear" w:color="auto" w:fill="auto"/>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rPr>
              <w:t xml:space="preserve">Các phụ lục chi tiết kèm theo</w:t>
            </w:r>
            <w:r/>
          </w:p>
        </w:tc>
        <w:tc>
          <w:tcPr>
            <w:shd w:val="clear" w:color="auto" w:fill="auto"/>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 </w:t>
            </w:r>
            <w:r/>
          </w:p>
        </w:tc>
      </w:tr>
      <w:tr>
        <w:trPr/>
        <w:tc>
          <w:tcPr>
            <w:shd w:val="clear" w:color="auto" w:fill="auto"/>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1: Thông tin hiện trạng + Hồ sơ pháp lý + BBKS</w:t>
            </w:r>
            <w:r/>
          </w:p>
        </w:tc>
        <w:tc>
          <w:tcPr>
            <w:shd w:val="clear" w:color="auto" w:fill="auto"/>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30-38</w:t>
            </w:r>
            <w:r/>
          </w:p>
        </w:tc>
      </w:tr>
      <w:tr>
        <w:trPr/>
        <w:tc>
          <w:tcPr>
            <w:shd w:val="clear" w:color="auto" w:fill="auto"/>
            <w:tcBorders/>
            <w:tcMar>
              <w:left w:w="108" w:type="dxa"/>
              <w:right w:w="108" w:type="dxa"/>
            </w:tcMar>
            <w:tcW w:w="728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p>
        </w:tc>
        <w:tc>
          <w:tcPr>
            <w:shd w:val="clear" w:color="auto" w:fill="auto"/>
            <w:tcBorders/>
            <w:tcMar>
              <w:left w:w="108" w:type="dxa"/>
              <w:right w:w="108" w:type="dxa"/>
            </w:tcMar>
            <w:tcW w:w="152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right"/>
              <w:rPr/>
            </w:pPr>
            <w:r>
              <w:rPr>
                <w:rFonts w:ascii="Times New Roman" w:hAnsi="Times New Roman" w:eastAsia="Times New Roman" w:cs="Times New Roman"/>
                <w:b/>
                <w:color w:val="000000"/>
                <w:sz w:val="24"/>
              </w:rPr>
              <w:t xml:space="preserve">39-4</w:t>
            </w:r>
            <w:r>
              <w:rPr>
                <w:rFonts w:ascii="Times New Roman" w:hAnsi="Times New Roman" w:eastAsia="Times New Roman" w:cs="Times New Roman"/>
                <w:b/>
                <w:color w:val="000000"/>
                <w:sz w:val="24"/>
              </w:rPr>
              <w:t xml:space="preserve">8</w:t>
            </w:r>
            <w:r/>
          </w:p>
        </w:tc>
      </w:tr>
    </w:tbl>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Style w:val="1049"/>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683"/>
        <w:gridCol w:w="1683"/>
        <w:gridCol w:w="6769"/>
      </w:tblGrid>
      <w:tr>
        <w:trPr>
          <w:trHeight w:val="1701"/>
        </w:trPr>
        <w:tc>
          <w:tcPr>
            <w:tcBorders/>
            <w:tcMar>
              <w:left w:w="108" w:type="dxa"/>
              <w:top w:w="0" w:type="dxa"/>
              <w:right w:w="108" w:type="dxa"/>
              <w:bottom w:w="0" w:type="dxa"/>
            </w:tcMar>
            <w:tcW w:w="1702"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pPr>
            <w:r>
              <mc:AlternateContent>
                <mc:Choice Requires="wpg">
                  <w:drawing>
                    <wp:inline xmlns:wp="http://schemas.openxmlformats.org/drawingml/2006/wordprocessingDrawing" distT="0" distB="0" distL="0" distR="0">
                      <wp:extent cx="1019175" cy="923925"/>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008478" name=""/>
                              <pic:cNvPicPr>
                                <a:picLocks noChangeAspect="1"/>
                              </pic:cNvPicPr>
                              <pic:nvPr/>
                            </pic:nvPicPr>
                            <pic:blipFill rotWithShape="1">
                              <a:blip r:embed="rId14"/>
                              <a:stretch/>
                            </pic:blipFill>
                            <pic:spPr bwMode="auto">
                              <a:xfrm>
                                <a:off x="0" y="0"/>
                                <a:ext cx="1019173" cy="92392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25pt;height:72.75pt;mso-wrap-distance-left:0.00pt;mso-wrap-distance-top:0.00pt;mso-wrap-distance-right:0.00pt;mso-wrap-distance-bottom:0.00pt;z-index:1;" stroked="false">
                      <v:imagedata r:id="rId14" o:title=""/>
                      <o:lock v:ext="edit" rotation="t"/>
                    </v:shape>
                  </w:pict>
                </mc:Fallback>
              </mc:AlternateContent>
            </w:r>
            <w:r/>
          </w:p>
        </w:tc>
        <w:tc>
          <w:tcPr>
            <w:gridSpan w:val="2"/>
            <w:tcBorders/>
            <w:tcMar>
              <w:left w:w="108" w:type="dxa"/>
              <w:top w:w="0" w:type="dxa"/>
              <w:right w:w="108" w:type="dxa"/>
              <w:bottom w:w="0" w:type="dxa"/>
            </w:tcMar>
            <w:tcW w:w="8242"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TP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5" w:tooltip="mailto:ilotus.contact@gmail.com" w:history="1">
              <w:r>
                <w:rPr>
                  <w:rStyle w:val="1035"/>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trHeight w:val="482"/>
        </w:trPr>
        <w:tc>
          <w:tcPr>
            <w:gridSpan w:val="2"/>
            <w:tcBorders/>
            <w:tcMar>
              <w:left w:w="108" w:type="dxa"/>
              <w:top w:w="0" w:type="dxa"/>
              <w:right w:w="108" w:type="dxa"/>
              <w:bottom w:w="0" w:type="dxa"/>
            </w:tcMar>
            <w:tcW w:w="3403" w:type="dxa"/>
            <w:vAlign w:val="top"/>
            <w:textDirection w:val="lrTb"/>
            <w:noWrap w:val="false"/>
          </w:tcPr>
          <w:p>
            <w:pPr>
              <w:pBdr>
                <w:top w:val="none" w:color="000000" w:sz="4" w:space="0"/>
                <w:left w:val="none" w:color="000000" w:sz="4" w:space="0"/>
                <w:bottom w:val="none" w:color="000000" w:sz="4" w:space="0"/>
                <w:right w:val="none" w:color="000000" w:sz="4" w:space="0"/>
              </w:pBdr>
              <w:spacing w:after="60"/>
              <w:ind w:right="0" w:firstLine="0" w:left="0"/>
              <w:jc w:val="both"/>
              <w:rPr/>
            </w:pPr>
            <w:r>
              <w:rPr>
                <w:rFonts w:ascii="Times New Roman" w:hAnsi="Times New Roman" w:eastAsia="Times New Roman" w:cs="Times New Roman"/>
                <w:color w:val="000000"/>
                <w:sz w:val="24"/>
              </w:rPr>
              <w:t xml:space="preserve">Số:275/2026/1398/VFI-CT.44.A</w:t>
            </w:r>
            <w:r/>
          </w:p>
        </w:tc>
        <w:tc>
          <w:tcPr>
            <w:tcBorders/>
            <w:tcMar>
              <w:left w:w="108" w:type="dxa"/>
              <w:top w:w="0" w:type="dxa"/>
              <w:right w:w="108" w:type="dxa"/>
              <w:bottom w:w="0" w:type="dxa"/>
            </w:tcMar>
            <w:tcW w:w="6769"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center"/>
              <w:rPr/>
            </w:pPr>
            <w:r>
              <w:rPr>
                <w:rFonts w:ascii="Times New Roman" w:hAnsi="Times New Roman" w:eastAsia="Times New Roman" w:cs="Times New Roman"/>
                <w:i/>
                <w:color w:val="000000"/>
                <w:sz w:val="24"/>
              </w:rPr>
              <w:t xml:space="preserve">                                      TP. Hà Nội, ngày 09 tháng 9 năm 2026</w:t>
            </w:r>
            <w:r/>
          </w:p>
        </w:tc>
      </w:tr>
    </w:tbl>
    <w:p>
      <w:pPr>
        <w:pBdr>
          <w:top w:val="none" w:color="000000" w:sz="4" w:space="0"/>
          <w:left w:val="none" w:color="000000" w:sz="4" w:space="0"/>
          <w:bottom w:val="none" w:color="000000" w:sz="4" w:space="0"/>
          <w:right w:val="none" w:color="000000" w:sz="4" w:space="0"/>
        </w:pBdr>
        <w:spacing w:after="120" w:before="200" w:line="288" w:lineRule="auto"/>
        <w:ind w:right="0" w:firstLine="0" w:left="0"/>
        <w:jc w:val="center"/>
        <w:rPr/>
      </w:pPr>
      <w:r>
        <w:rPr>
          <w:rFonts w:ascii="Times New Roman" w:hAnsi="Times New Roman" w:eastAsia="Times New Roman" w:cs="Times New Roman"/>
          <w:b/>
          <w:color w:val="000000"/>
          <w:sz w:val="30"/>
        </w:rPr>
        <w:t xml:space="preserve">CHỨNG THƯ THẨM ĐỊNH GIÁ</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u w:val="single"/>
        </w:rPr>
        <w:t xml:space="preserve">Kính gửi</w:t>
      </w:r>
      <w:r>
        <w:rPr>
          <w:rFonts w:ascii="Times New Roman" w:hAnsi="Times New Roman" w:eastAsia="Times New Roman" w:cs="Times New Roman"/>
          <w:b/>
          <w:color w:val="000000"/>
          <w:sz w:val="24"/>
        </w:rPr>
        <w:t xml:space="preserve">: Ông Nguyễn Văn Vương</w:t>
      </w:r>
      <w:r/>
    </w:p>
    <w:p>
      <w:pPr>
        <w:pBdr>
          <w:top w:val="none" w:color="000000" w:sz="4" w:space="0"/>
          <w:left w:val="none" w:color="000000" w:sz="4" w:space="0"/>
          <w:bottom w:val="none" w:color="000000" w:sz="4" w:space="0"/>
          <w:right w:val="none" w:color="000000" w:sz="4" w:space="0"/>
        </w:pBdr>
        <w:tabs>
          <w:tab w:val="left" w:leader="none" w:pos="450"/>
        </w:tabs>
        <w:spacing w:after="120" w:before="120" w:line="288" w:lineRule="auto"/>
        <w:ind w:right="0" w:firstLine="0" w:left="-72"/>
        <w:jc w:val="both"/>
        <w:rPr/>
      </w:pPr>
      <w:r>
        <w:rPr>
          <w:rFonts w:ascii="Times New Roman" w:hAnsi="Times New Roman" w:eastAsia="Times New Roman" w:cs="Times New Roman"/>
          <w:color w:val="000000"/>
          <w:spacing w:val="-4"/>
          <w:sz w:val="24"/>
        </w:rPr>
        <w:tab/>
        <w:t xml:space="preserve">Căn cứ Hợp đồng dịch vụ thẩm định giá số: 275/2026/1398/VFI-HĐTĐ.44.A ký ngày 07 tháng 9 năm 2026 giữa Ông Nguyễn Văn Vương</w:t>
      </w:r>
      <w:r>
        <w:rPr>
          <w:rFonts w:ascii="Times New Roman" w:hAnsi="Times New Roman" w:eastAsia="Times New Roman" w:cs="Times New Roman"/>
          <w:color w:val="000000"/>
          <w:sz w:val="24"/>
        </w:rPr>
        <w:t xml:space="preserve"> </w:t>
      </w:r>
      <w:r>
        <w:rPr>
          <w:rFonts w:ascii="Times New Roman" w:hAnsi="Times New Roman" w:eastAsia="Times New Roman" w:cs="Times New Roman"/>
          <w:color w:val="000000"/>
          <w:spacing w:val="-6"/>
          <w:sz w:val="24"/>
        </w:rPr>
        <w:t xml:space="preserve">với  </w:t>
      </w:r>
      <w:r>
        <w:rPr>
          <w:rFonts w:ascii="Times New Roman" w:hAnsi="Times New Roman" w:eastAsia="Times New Roman" w:cs="Times New Roman"/>
          <w:color w:val="000000"/>
          <w:spacing w:val="-4"/>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pacing w:val="-2"/>
          <w:sz w:val="24"/>
        </w:rPr>
        <w:t xml:space="preserve">Căn cứ Báo cáo thẩm định giá số 275/2026/1398/VFI-BC.44.A ngày 09 tháng 9 năm 2026 của 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before="120" w:line="288" w:lineRule="auto"/>
        <w:ind w:right="0" w:firstLine="432" w:left="0"/>
        <w:jc w:val="both"/>
        <w:rPr/>
      </w:pPr>
      <w:r>
        <w:rPr>
          <w:rFonts w:ascii="Times New Roman" w:hAnsi="Times New Roman" w:eastAsia="Times New Roman" w:cs="Times New Roman"/>
          <w:color w:val="000000"/>
          <w:sz w:val="24"/>
        </w:rPr>
        <w:t xml:space="preserve">Công ty Cổ phần Thẩm định và Đầu tư Tài chính Hoa Sen cung cấp Chứng thư thẩm định giá tài sản với nội dung sau:</w:t>
      </w:r>
      <w:r/>
    </w:p>
    <w:p>
      <w:pPr>
        <w:pBdr>
          <w:top w:val="none" w:color="000000" w:sz="4" w:space="0"/>
          <w:left w:val="none" w:color="000000" w:sz="4" w:space="0"/>
          <w:bottom w:val="none" w:color="000000" w:sz="4" w:space="0"/>
          <w:right w:val="none" w:color="000000" w:sz="4" w:space="0"/>
        </w:pBdr>
        <w:tabs>
          <w:tab w:val="left" w:leader="none" w:pos="851"/>
        </w:tabs>
        <w:spacing w:after="120" w:before="120" w:line="288" w:lineRule="auto"/>
        <w:ind w:right="0" w:firstLine="0" w:left="0"/>
        <w:jc w:val="both"/>
        <w:rPr/>
      </w:pPr>
      <w:r>
        <w:rPr>
          <w:rFonts w:ascii="Times New Roman" w:hAnsi="Times New Roman" w:eastAsia="Times New Roman" w:cs="Times New Roman"/>
          <w:b/>
          <w:color w:val="000000"/>
          <w:sz w:val="24"/>
        </w:rPr>
        <w:t xml:space="preserve">1. Khách hàng yêu cầu thẩm định giá:</w:t>
      </w:r>
      <w:r/>
    </w:p>
    <w:tbl>
      <w:tblPr>
        <w:tblStyle w:val="1049"/>
        <w:tblInd w:w="0" w:type="dxa"/>
        <w:tblW w:w="4852"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276"/>
        <w:gridCol w:w="391"/>
        <w:gridCol w:w="6784"/>
      </w:tblGrid>
      <w:tr>
        <w:trPr>
          <w:trHeight w:val="20"/>
        </w:trPr>
        <w:tc>
          <w:tcPr>
            <w:tcBorders/>
            <w:tcMar>
              <w:left w:w="108" w:type="dxa"/>
              <w:top w:w="0" w:type="dxa"/>
              <w:right w:w="108" w:type="dxa"/>
              <w:bottom w:w="0" w:type="dxa"/>
            </w:tcMar>
            <w:tcW w:w="22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39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78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Nguyễn Văn Vương</w:t>
            </w:r>
            <w:r/>
          </w:p>
        </w:tc>
      </w:tr>
      <w:tr>
        <w:trPr>
          <w:trHeight w:val="20"/>
        </w:trPr>
        <w:tc>
          <w:tcPr>
            <w:tcBorders/>
            <w:tcMar>
              <w:left w:w="108" w:type="dxa"/>
              <w:top w:w="0" w:type="dxa"/>
              <w:right w:w="108" w:type="dxa"/>
              <w:bottom w:w="0" w:type="dxa"/>
            </w:tcMar>
            <w:tcW w:w="22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39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7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027076013654</w:t>
            </w:r>
            <w:r/>
          </w:p>
        </w:tc>
      </w:tr>
      <w:tr>
        <w:trPr>
          <w:trHeight w:val="20"/>
        </w:trPr>
        <w:tc>
          <w:tcPr>
            <w:tcBorders/>
            <w:tcMar>
              <w:left w:w="108" w:type="dxa"/>
              <w:top w:w="0" w:type="dxa"/>
              <w:right w:w="108" w:type="dxa"/>
              <w:bottom w:w="0" w:type="dxa"/>
            </w:tcMar>
            <w:tcW w:w="22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39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7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Khu Dương Ô, Phong Khê, thành phố Bắc Ninh, tỉnh Bắc Ninh </w:t>
            </w:r>
            <w:r>
              <w:rPr>
                <w:rFonts w:ascii="Times New Roman" w:hAnsi="Times New Roman" w:eastAsia="Times New Roman" w:cs="Times New Roman"/>
                <w:i/>
                <w:color w:val="000000"/>
                <w:sz w:val="24"/>
              </w:rPr>
              <w:t xml:space="preserve">(nay là phường Võ Cường, thành phố Bắc Ninh)</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2. Thông tin về doanh nghiệp thẩm định giá:</w:t>
      </w:r>
      <w:r/>
    </w:p>
    <w:tbl>
      <w:tblPr>
        <w:tblStyle w:val="1049"/>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269"/>
        <w:gridCol w:w="289"/>
        <w:gridCol w:w="7115"/>
      </w:tblGrid>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b/>
                <w:color w:val="000000"/>
                <w:spacing w:val="-4"/>
                <w:sz w:val="24"/>
              </w:rPr>
              <w:t xml:space="preserve">CÔNG TY CP THẨM ĐỊNH VÀ ĐẦU TƯ TÀI CHÍNH HOA SEN</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2"/>
                <w:sz w:val="24"/>
              </w:rPr>
              <w:t xml:space="preserve">BT5 - 23, Khu đô thị mới Văn Phú, Phường Kiến Hưng, TP Hà Nội</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40" w:before="40" w:line="276" w:lineRule="auto"/>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Thông báo</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292a2e"/>
                <w:sz w:val="24"/>
              </w:rPr>
              <w:t xml:space="preserve">Số 1294/TB-BTC ngày 25/12/2025</w:t>
            </w:r>
            <w:r>
              <w:rPr>
                <w:rFonts w:ascii="Segoe UI" w:hAnsi="Segoe UI" w:eastAsia="Segoe UI" w:cs="Segoe UI"/>
                <w:color w:val="292a2e"/>
                <w:sz w:val="21"/>
              </w:rPr>
              <w:t xml:space="preserve"> </w:t>
            </w:r>
            <w:r>
              <w:rPr>
                <w:rFonts w:ascii="Times New Roman" w:hAnsi="Times New Roman" w:eastAsia="Times New Roman" w:cs="Times New Roman"/>
                <w:color w:val="000000"/>
                <w:sz w:val="24"/>
              </w:rPr>
              <w:t xml:space="preserve">về việc doanh nghiệp đủ điều kiện kinh doanh Dịch vụ thẩm định giá.</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711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rPr/>
            </w:pPr>
            <w:r>
              <w:rPr>
                <w:rFonts w:ascii="Times New Roman" w:hAnsi="Times New Roman" w:eastAsia="Times New Roman" w:cs="Times New Roman"/>
                <w:b/>
                <w:color w:val="000000"/>
                <w:sz w:val="24"/>
              </w:rPr>
              <w:t xml:space="preserve">Ông Vũ Văn Quân </w:t>
              <w:tab/>
              <w:t xml:space="preserve">Chức vụ: Chủ tịch HĐQT kiêm Tổng GĐ</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3. Tài sản thẩm định:</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01: </w:t>
      </w:r>
      <w:r>
        <w:rPr>
          <w:rFonts w:ascii="Times New Roman" w:hAnsi="Times New Roman" w:eastAsia="Times New Roman" w:cs="Times New Roman"/>
          <w:color w:val="000000"/>
          <w:sz w:val="24"/>
        </w:rPr>
        <w:t xml:space="preserve">Quyền sử dụng đất tại thửa đất số: 512, tờ bản đồ số: ./., có địa chỉ: Thôn Dương Ổ, xã Phong Khê, huyện Yên Phong, tỉnh Bắc Ninh (</w:t>
      </w:r>
      <w:r>
        <w:rPr>
          <w:rFonts w:ascii="Times New Roman" w:hAnsi="Times New Roman" w:eastAsia="Times New Roman" w:cs="Times New Roman"/>
          <w:i/>
          <w:color w:val="000000"/>
          <w:sz w:val="24"/>
        </w:rPr>
        <w:t xml:space="preserve">nay là phường Võ Cường, thành phố Bắc Ninh)</w:t>
      </w:r>
      <w:r>
        <w:rPr>
          <w:rFonts w:ascii="Times New Roman" w:hAnsi="Times New Roman" w:eastAsia="Times New Roman" w:cs="Times New Roman"/>
          <w:color w:val="000000"/>
          <w:sz w:val="24"/>
        </w:rPr>
        <w:t xml:space="preserve"> theo Giấy chứng nhận quyền sử dụng đất số: R 461077, Số vào sổ cấp GCN: 00177/QSDĐ/1201 do UBND huyện Yên Phong cấp ngày 10/10/2002; Chủ sử dụng đất là Ông Nguyễn Văn Vương;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Tài sản thẩm định 02:</w:t>
      </w:r>
      <w:r>
        <w:rPr>
          <w:rFonts w:ascii="Times New Roman" w:hAnsi="Times New Roman" w:eastAsia="Times New Roman" w:cs="Times New Roman"/>
          <w:color w:val="000000"/>
          <w:sz w:val="24"/>
        </w:rPr>
        <w:t xml:space="preserve"> Quyền sử dụng đất và tài sản gắn liền với đất tại thửa đất số: 462, tờ bản đồ số: 24, có địa chỉ: Thôn Dương Ổ, xã Phong Khê, huyện Yên Phong, tỉnh Bắc Ninh  (nay là Phường Võ Cường, thành phố Bắc Ninh) theo Giấy chứng nhận quyền sử dụng đất số: X 399916,</w:t>
      </w:r>
      <w:r>
        <w:rPr>
          <w:rFonts w:ascii="Times New Roman" w:hAnsi="Times New Roman" w:eastAsia="Times New Roman" w:cs="Times New Roman"/>
          <w:color w:val="000000"/>
          <w:sz w:val="24"/>
        </w:rPr>
        <w:t xml:space="preserve"> Số vào sổ cấp GCN: 00273 QSDĐ/285 do UBND huyện Yên Phong cấp ngày 22/03/2003; Chủ sử dụng đất là </w:t>
      </w:r>
      <w:r>
        <w:rPr>
          <w:rFonts w:ascii="Times New Roman" w:hAnsi="Times New Roman" w:eastAsia="Times New Roman" w:cs="Times New Roman"/>
          <w:color w:val="ff0000"/>
          <w:sz w:val="24"/>
        </w:rPr>
        <w:t xml:space="preserve">Hộ Ông </w:t>
      </w:r>
      <w:r>
        <w:rPr>
          <w:rFonts w:ascii="Times New Roman" w:hAnsi="Times New Roman" w:eastAsia="Times New Roman" w:cs="Times New Roman"/>
          <w:color w:val="000000"/>
          <w:sz w:val="24"/>
        </w:rPr>
        <w:t xml:space="preserve">Nguyễn Văn Vương.</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4. Thời điểm thẩm định giá:</w:t>
      </w:r>
      <w:r>
        <w:rPr>
          <w:rFonts w:ascii="Times New Roman" w:hAnsi="Times New Roman" w:eastAsia="Times New Roman" w:cs="Times New Roman"/>
          <w:color w:val="000000"/>
          <w:sz w:val="24"/>
        </w:rPr>
        <w:t xml:space="preserve"> Tháng 9/2026.</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60" w:lineRule="auto"/>
        <w:ind w:right="0" w:firstLine="0" w:left="0"/>
        <w:jc w:val="both"/>
        <w:rPr/>
      </w:pPr>
      <w:r>
        <w:rPr>
          <w:rFonts w:ascii="Times New Roman" w:hAnsi="Times New Roman" w:eastAsia="Times New Roman" w:cs="Times New Roman"/>
          <w:b/>
          <w:color w:val="000000"/>
          <w:sz w:val="24"/>
        </w:rPr>
        <w:t xml:space="preserve">5. Mục đích thẩm định giá: </w:t>
      </w: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ngân hàng SHB</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tabs>
          <w:tab w:val="left" w:leader="none" w:pos="851"/>
        </w:tabs>
        <w:spacing w:after="120" w:before="120" w:line="360" w:lineRule="auto"/>
        <w:ind w:right="0" w:firstLine="0" w:left="0"/>
        <w:jc w:val="both"/>
        <w:rPr/>
      </w:pPr>
      <w:r>
        <w:rPr>
          <w:rFonts w:ascii="Times New Roman" w:hAnsi="Times New Roman" w:eastAsia="Times New Roman" w:cs="Times New Roman"/>
          <w:b/>
          <w:color w:val="000000"/>
          <w:sz w:val="24"/>
        </w:rPr>
        <w:t xml:space="preserve">6. Cơ sở giá trị của tài sản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60" w:lineRule="auto"/>
        <w:ind w:right="0" w:firstLine="432" w:left="0"/>
        <w:jc w:val="both"/>
        <w:rPr/>
      </w:pPr>
      <w:r>
        <w:rPr>
          <w:rFonts w:ascii="Times New Roman" w:hAnsi="Times New Roman" w:eastAsia="Times New Roman" w:cs="Times New Roman"/>
          <w:i/>
          <w:color w:val="000000"/>
          <w:sz w:val="24"/>
        </w:rPr>
        <w:t xml:space="preserve">Chi tiết như Báo cáo kèm theo </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60" w:lineRule="auto"/>
        <w:ind w:right="0" w:firstLine="0" w:left="0"/>
        <w:jc w:val="both"/>
        <w:rPr/>
      </w:pPr>
      <w:r>
        <w:rPr>
          <w:rFonts w:ascii="Times New Roman" w:hAnsi="Times New Roman" w:eastAsia="Times New Roman" w:cs="Times New Roman"/>
          <w:b/>
          <w:color w:val="000000"/>
          <w:sz w:val="24"/>
        </w:rPr>
        <w:t xml:space="preserve">7. Giả thiết và giả thiết đặc biệt:</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60"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60" w:lineRule="auto"/>
        <w:ind w:right="0" w:firstLine="0" w:left="0"/>
        <w:jc w:val="both"/>
        <w:rPr/>
      </w:pPr>
      <w:r>
        <w:rPr>
          <w:rFonts w:ascii="Times New Roman" w:hAnsi="Times New Roman" w:eastAsia="Times New Roman" w:cs="Times New Roman"/>
          <w:b/>
          <w:color w:val="000000"/>
          <w:sz w:val="24"/>
        </w:rPr>
        <w:t xml:space="preserve">8. Cách tiếp cận và phương pháp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360" w:lineRule="auto"/>
        <w:ind w:right="0" w:firstLine="432" w:left="0"/>
        <w:jc w:val="both"/>
        <w:rPr/>
      </w:pPr>
      <w:r>
        <w:rPr>
          <w:rFonts w:ascii="Times New Roman" w:hAnsi="Times New Roman" w:eastAsia="Times New Roman" w:cs="Times New Roman"/>
          <w:i/>
          <w:color w:val="000000"/>
          <w:sz w:val="24"/>
        </w:rPr>
        <w:t xml:space="preserve">Chi tiết như Báo cáo kèm theo</w:t>
      </w:r>
      <w:r/>
    </w:p>
    <w:p>
      <w:pPr>
        <w:pBdr>
          <w:top w:val="none" w:color="000000" w:sz="4" w:space="0"/>
          <w:left w:val="none" w:color="000000" w:sz="4" w:space="0"/>
          <w:bottom w:val="none" w:color="000000" w:sz="4" w:space="0"/>
          <w:right w:val="none" w:color="000000" w:sz="4" w:space="0"/>
        </w:pBdr>
        <w:tabs>
          <w:tab w:val="left" w:leader="none" w:pos="2430"/>
          <w:tab w:val="left" w:leader="none" w:pos="5130"/>
        </w:tabs>
        <w:spacing w:after="120" w:before="120" w:line="360" w:lineRule="auto"/>
        <w:ind w:right="0" w:firstLine="0" w:left="0"/>
        <w:jc w:val="both"/>
        <w:rPr/>
      </w:pPr>
      <w:r>
        <w:rPr>
          <w:rFonts w:ascii="Times New Roman" w:hAnsi="Times New Roman" w:eastAsia="Times New Roman" w:cs="Times New Roman"/>
          <w:b/>
          <w:color w:val="000000"/>
          <w:sz w:val="24"/>
        </w:rPr>
        <w:t xml:space="preserve">9. Giá trị tài sản thẩm định giá:</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color w:val="000000"/>
          <w:sz w:val="24"/>
        </w:rPr>
        <w:t xml:space="preserve">Trên cơ sở các hồ sơ, tài liệu do Khách hàng cung cấp, qua điều tra thông tin thực tế trên thị trường với cách tiếp cận và phương pháp thẩm định được áp dụng trong tính toán, Công ty Cổ phần Thẩm định và Đầu tư Tài chính Hoa Sen thông báo giá trị tài sản c</w:t>
      </w:r>
      <w:r>
        <w:rPr>
          <w:rFonts w:ascii="Times New Roman" w:hAnsi="Times New Roman" w:eastAsia="Times New Roman" w:cs="Times New Roman"/>
          <w:color w:val="000000"/>
          <w:sz w:val="24"/>
        </w:rPr>
        <w:t xml:space="preserve">hưa bao gồm các loại thuế, phí và lệ phí liên quan đến việc chuyển nhượng tài sản của Quý khách hàng tại thời điểm Tháng 9/2026 ước tính như sau:</w: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tbl>
      <w:tblPr>
        <w:tblStyle w:val="1049"/>
        <w:tblInd w:w="-5" w:type="dxa"/>
        <w:tblW w:w="49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809"/>
        <w:gridCol w:w="2384"/>
        <w:gridCol w:w="1200"/>
        <w:gridCol w:w="1984"/>
        <w:gridCol w:w="1352"/>
        <w:gridCol w:w="1816"/>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3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2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3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4"/>
              </w:rPr>
              <w:t xml:space="preserve">Hệ số/CLCL</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8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176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01 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92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512, tờ bản đồ số: ./., có địa chỉ: Thôn Dương Ổ, xã Phong Khê, huyện Yên Phong, tỉnh Bắc Ninh (</w:t>
            </w:r>
            <w:r>
              <w:rPr>
                <w:rFonts w:ascii="Times New Roman" w:hAnsi="Times New Roman" w:eastAsia="Times New Roman" w:cs="Times New Roman"/>
                <w:b/>
                <w:i/>
                <w:color w:val="000000"/>
                <w:sz w:val="24"/>
              </w:rPr>
              <w:t xml:space="preserve">nay là phường Võ Cường, thành phố Bắc Ninh</w:t>
            </w:r>
            <w:r>
              <w:rPr>
                <w:rFonts w:ascii="Times New Roman" w:hAnsi="Times New Roman" w:eastAsia="Times New Roman" w:cs="Times New Roman"/>
                <w:b/>
                <w:color w:val="000000"/>
                <w:sz w:val="24"/>
              </w:rPr>
              <w:t xml:space="preserve">) theo Giấy chứng nhận quyền sử dụng đất số: R 461077, Số vào sổ cấp GCN: 00177/QSDĐ/1201 do UBND huyện Yên Phong cấp ngày 10/10/2002; Chủ sử dụng đất là Ông Nguyễn Văn Vương.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right"/>
              <w:rPr/>
            </w:pPr>
            <w:r>
              <w:rPr>
                <w:rFonts w:ascii="Times New Roman" w:hAnsi="Times New Roman" w:eastAsia="Times New Roman" w:cs="Times New Roman"/>
                <w:b/>
                <w:color w:val="000000"/>
                <w:sz w:val="24"/>
              </w:rPr>
              <w:t xml:space="preserve">5.460.000.000 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rPr/>
            </w:pPr>
            <w:r>
              <w:rPr>
                <w:rFonts w:ascii="Times New Roman" w:hAnsi="Times New Roman" w:eastAsia="Times New Roman" w:cs="Times New Roman"/>
                <w:b/>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20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center"/>
              <w:rPr/>
            </w:pPr>
            <w:r>
              <w:rPr>
                <w:rFonts w:ascii="Times New Roman" w:hAnsi="Times New Roman" w:eastAsia="Times New Roman" w:cs="Times New Roman"/>
                <w:color w:val="000000"/>
                <w:sz w:val="24"/>
              </w:rPr>
              <w:t xml:space="preserve">210,0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26.000.000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5.460.000.000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02</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92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462, tờ bản đồ số: 24, có địa chỉ: Thôn Dương Ổ, xã Phong Khê, huyện Yên Phong, tỉnh Bắc </w:t>
            </w:r>
            <w:r>
              <w:rPr>
                <w:rFonts w:ascii="Times New Roman" w:hAnsi="Times New Roman" w:eastAsia="Times New Roman" w:cs="Times New Roman"/>
                <w:b/>
                <w:i/>
                <w:color w:val="000000"/>
                <w:sz w:val="24"/>
              </w:rPr>
              <w:t xml:space="preserve">Ninh  (nay là Phường Võ Cường, thành phố Bắc Ninh)</w:t>
            </w:r>
            <w:r>
              <w:rPr>
                <w:rFonts w:ascii="Times New Roman" w:hAnsi="Times New Roman" w:eastAsia="Times New Roman" w:cs="Times New Roman"/>
                <w:b/>
                <w:color w:val="000000"/>
                <w:sz w:val="24"/>
              </w:rPr>
              <w:t xml:space="preserve"> theo Giấy chứng nhận quyền sử dụng đất số: X 399916, Số vào sổ cấp GCN: 00273 QSDĐ/285 do UBND huyện Yên Phong cấp ngày 22/03/2003; Chủ sử dụng đất là </w:t>
            </w:r>
            <w:r>
              <w:rPr>
                <w:rFonts w:ascii="Times New Roman" w:hAnsi="Times New Roman" w:eastAsia="Times New Roman" w:cs="Times New Roman"/>
                <w:b/>
                <w:color w:val="ff0000"/>
                <w:sz w:val="24"/>
              </w:rPr>
              <w:t xml:space="preserve">Hộ Ông </w:t>
            </w:r>
            <w:r>
              <w:rPr>
                <w:rFonts w:ascii="Times New Roman" w:hAnsi="Times New Roman" w:eastAsia="Times New Roman" w:cs="Times New Roman"/>
                <w:b/>
                <w:color w:val="000000"/>
                <w:sz w:val="24"/>
              </w:rPr>
              <w:t xml:space="preserve">Nguyễn Văn Vương.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3.909.736.128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rPr/>
            </w:pPr>
            <w:r>
              <w:rPr>
                <w:rFonts w:ascii="Times New Roman" w:hAnsi="Times New Roman" w:eastAsia="Times New Roman" w:cs="Times New Roman"/>
                <w:b/>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20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center"/>
              <w:rPr/>
            </w:pPr>
            <w:r>
              <w:rPr>
                <w:rFonts w:ascii="Times New Roman" w:hAnsi="Times New Roman" w:eastAsia="Times New Roman" w:cs="Times New Roman"/>
                <w:color w:val="000000"/>
                <w:sz w:val="24"/>
              </w:rPr>
              <w:t xml:space="preserve">102,0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28.000.000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2.856.000.000</w:t>
            </w:r>
            <w:r/>
          </w:p>
        </w:tc>
      </w:tr>
      <w:tr>
        <w:trPr>
          <w:trHeight w:val="1133"/>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80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both"/>
              <w:rPr/>
            </w:pPr>
            <w:r>
              <w:rPr>
                <w:rFonts w:ascii="Times New Roman" w:hAnsi="Times New Roman" w:eastAsia="Times New Roman" w:cs="Times New Roman"/>
                <w:b/>
                <w:color w:val="000000"/>
                <w:sz w:val="24"/>
              </w:rPr>
              <w:t xml:space="preserve">Công trình xây dựng trên đất (Nhà 02 tầng + 01 tum).</w:t>
            </w:r>
            <w:r/>
          </w:p>
        </w:tc>
        <w:tc>
          <w:tcPr>
            <w:tcBorders>
              <w:bottom w:val="single" w:color="000000" w:sz="8" w:space="0"/>
              <w:right w:val="single" w:color="000000" w:sz="8" w:space="0"/>
            </w:tcBorders>
            <w:tcMar>
              <w:left w:w="108" w:type="dxa"/>
              <w:top w:w="0" w:type="dxa"/>
              <w:right w:w="108" w:type="dxa"/>
              <w:bottom w:w="0" w:type="dxa"/>
            </w:tcMar>
            <w:tcW w:w="120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center"/>
              <w:rPr/>
            </w:pPr>
            <w:r>
              <w:rPr>
                <w:rFonts w:ascii="Times New Roman" w:hAnsi="Times New Roman" w:eastAsia="Times New Roman" w:cs="Times New Roman"/>
                <w:color w:val="000000"/>
                <w:sz w:val="24"/>
              </w:rPr>
              <w:t xml:space="preserve">160,0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7.934.760 </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3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color w:val="000000"/>
                <w:sz w:val="24"/>
              </w:rPr>
              <w:t xml:space="preserve">83%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1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1.053.736.128</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730" w:type="dxa"/>
            <w:vAlign w:val="center"/>
            <w:textDirection w:val="lrTb"/>
            <w:noWrap/>
          </w:tcPr>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ff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81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center"/>
              <w:rPr/>
            </w:pPr>
            <w:r>
              <w:rPr>
                <w:rFonts w:ascii="Times New Roman" w:hAnsi="Times New Roman" w:eastAsia="Times New Roman" w:cs="Times New Roman"/>
                <w:b/>
                <w:color w:val="ff0000"/>
                <w:sz w:val="24"/>
              </w:rPr>
              <w:t xml:space="preserve">9.369.736.128</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730" w:type="dxa"/>
            <w:vAlign w:val="center"/>
            <w:textDirection w:val="lrTb"/>
            <w:noWrap/>
          </w:tcPr>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81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center"/>
              <w:rPr/>
            </w:pPr>
            <w:r>
              <w:rPr>
                <w:rFonts w:ascii="Times New Roman" w:hAnsi="Times New Roman" w:eastAsia="Times New Roman" w:cs="Times New Roman"/>
                <w:b/>
                <w:color w:val="000000"/>
                <w:sz w:val="24"/>
              </w:rPr>
              <w:t xml:space="preserve">  9.369.000.000</w:t>
            </w:r>
            <w:r/>
          </w:p>
        </w:tc>
      </w:tr>
      <w:tr>
        <w:trPr>
          <w:trHeight w:val="20"/>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95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center"/>
              <w:rPr/>
            </w:pPr>
            <w:r>
              <w:rPr>
                <w:rFonts w:ascii="Times New Roman" w:hAnsi="Times New Roman" w:eastAsia="Times New Roman" w:cs="Times New Roman"/>
                <w:b/>
                <w:i/>
                <w:color w:val="000000"/>
                <w:sz w:val="24"/>
              </w:rPr>
              <w:t xml:space="preserve">(Bằng chữ: Chín tỷ, ba trăm sáu mươi chín triệu đồng chẵn/.)</w:t>
            </w:r>
            <w:r/>
          </w:p>
        </w:tc>
      </w:tr>
    </w:tbl>
    <w:p>
      <w:pPr>
        <w:pBdr>
          <w:top w:val="none" w:color="000000" w:sz="4" w:space="0"/>
          <w:left w:val="none" w:color="000000" w:sz="4" w:space="0"/>
          <w:bottom w:val="none" w:color="000000" w:sz="4" w:space="0"/>
          <w:right w:val="none" w:color="000000" w:sz="4" w:space="0"/>
        </w:pBdr>
        <w:spacing w:after="120" w:before="120" w:line="360" w:lineRule="auto"/>
        <w:ind w:right="0" w:firstLine="0" w:left="0"/>
        <w:jc w:val="both"/>
        <w:rPr/>
      </w:pPr>
      <w:r>
        <w:rPr>
          <w:rFonts w:ascii="Times New Roman" w:hAnsi="Times New Roman" w:eastAsia="Times New Roman" w:cs="Times New Roman"/>
          <w:b/>
          <w:color w:val="000000"/>
          <w:sz w:val="24"/>
        </w:rPr>
        <w:t xml:space="preserve">10. Thời hạn hiệu lực của kết quả thẩm định giá:</w:t>
      </w:r>
      <w:r/>
    </w:p>
    <w:p>
      <w:pPr>
        <w:pBdr>
          <w:top w:val="none" w:color="000000" w:sz="4" w:space="0"/>
          <w:left w:val="none" w:color="000000" w:sz="4" w:space="0"/>
          <w:bottom w:val="none" w:color="000000" w:sz="4" w:space="0"/>
          <w:right w:val="none" w:color="000000" w:sz="4" w:space="0"/>
        </w:pBdr>
        <w:spacing w:after="120" w:before="120" w:line="360" w:lineRule="auto"/>
        <w:ind w:right="0" w:firstLine="360" w:left="0"/>
        <w:jc w:val="both"/>
        <w:rPr/>
      </w:pPr>
      <w:r>
        <w:rPr>
          <w:rFonts w:ascii="Times New Roman" w:hAnsi="Times New Roman" w:eastAsia="Times New Roman" w:cs="Times New Roman"/>
          <w:color w:val="000000"/>
          <w:sz w:val="24"/>
        </w:rPr>
        <w:t xml:space="preserve">- 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spacing w:after="120" w:before="120" w:line="360" w:lineRule="auto"/>
        <w:ind w:right="0" w:firstLine="0" w:left="0"/>
        <w:rPr/>
      </w:pPr>
      <w:r>
        <w:rPr>
          <w:rFonts w:ascii="Times New Roman" w:hAnsi="Times New Roman" w:eastAsia="Times New Roman" w:cs="Times New Roman"/>
          <w:b/>
          <w:color w:val="000000"/>
          <w:sz w:val="24"/>
        </w:rPr>
        <w:t xml:space="preserve">11. Những điều khoản loại trừ và hạn chế của kết quả thẩm định giá:</w:t>
      </w:r>
      <w:r/>
    </w:p>
    <w:p>
      <w:pPr>
        <w:pBdr>
          <w:top w:val="none" w:color="000000" w:sz="4" w:space="0"/>
          <w:left w:val="none" w:color="000000" w:sz="4" w:space="0"/>
          <w:bottom w:val="none" w:color="000000" w:sz="4" w:space="0"/>
          <w:right w:val="none" w:color="000000" w:sz="4" w:space="0"/>
        </w:pBdr>
        <w:spacing w:after="120" w:before="120" w:line="360" w:lineRule="auto"/>
        <w:ind w:right="0" w:firstLine="360" w:left="0"/>
        <w:rPr/>
      </w:pPr>
      <w:r>
        <w:rPr>
          <w:rFonts w:ascii="Times New Roman" w:hAnsi="Times New Roman" w:eastAsia="Times New Roman" w:cs="Times New Roman"/>
          <w:color w:val="000000"/>
          <w:sz w:val="24"/>
        </w:rPr>
        <w:t xml:space="preserve">- Chi tiết như Báo cáo kèm theo.</w:t>
      </w:r>
      <w:r/>
    </w:p>
    <w:p>
      <w:pPr>
        <w:pBdr>
          <w:top w:val="none" w:color="000000" w:sz="4" w:space="0"/>
          <w:left w:val="none" w:color="000000" w:sz="4" w:space="0"/>
          <w:bottom w:val="none" w:color="000000" w:sz="4" w:space="0"/>
          <w:right w:val="none" w:color="000000" w:sz="4" w:space="0"/>
        </w:pBdr>
        <w:spacing w:after="120" w:before="120" w:line="264" w:lineRule="auto"/>
        <w:ind w:right="0" w:firstLine="0" w:left="0"/>
        <w:rPr/>
      </w:pPr>
      <w:r>
        <w:rPr>
          <w:rFonts w:ascii="Times New Roman" w:hAnsi="Times New Roman" w:eastAsia="Times New Roman" w:cs="Times New Roman"/>
          <w:b/>
          <w:color w:val="000000"/>
          <w:spacing w:val="-4"/>
          <w:sz w:val="24"/>
        </w:rPr>
        <w:t xml:space="preserve"> </w:t>
      </w:r>
      <w:r/>
    </w:p>
    <w:p>
      <w:pPr>
        <w:pBdr>
          <w:top w:val="none" w:color="000000" w:sz="4" w:space="0"/>
          <w:left w:val="none" w:color="000000" w:sz="4" w:space="0"/>
          <w:bottom w:val="none" w:color="000000" w:sz="4" w:space="0"/>
          <w:right w:val="none" w:color="000000" w:sz="4" w:space="0"/>
        </w:pBdr>
        <w:spacing w:after="120" w:before="120" w:line="264" w:lineRule="auto"/>
        <w:ind w:right="0" w:firstLine="0" w:left="0"/>
        <w:rPr/>
      </w:pPr>
      <w:r>
        <w:rPr>
          <w:rFonts w:ascii="Times New Roman" w:hAnsi="Times New Roman" w:eastAsia="Times New Roman" w:cs="Times New Roman"/>
          <w:b/>
          <w:color w:val="000000"/>
          <w:spacing w:val="-4"/>
          <w:sz w:val="24"/>
        </w:rPr>
        <w:t xml:space="preserve"> </w:t>
      </w:r>
      <w:r/>
    </w:p>
    <w:p>
      <w:pPr>
        <w:pBdr>
          <w:top w:val="none" w:color="000000" w:sz="4" w:space="0"/>
          <w:left w:val="none" w:color="000000" w:sz="4" w:space="0"/>
          <w:bottom w:val="none" w:color="000000" w:sz="4" w:space="0"/>
          <w:right w:val="none" w:color="000000" w:sz="4" w:space="0"/>
        </w:pBdr>
        <w:spacing w:after="120" w:before="120" w:line="264" w:lineRule="auto"/>
        <w:ind w:right="0" w:firstLine="0" w:left="0"/>
        <w:rPr/>
      </w:pPr>
      <w:r>
        <w:rPr>
          <w:rFonts w:ascii="Times New Roman" w:hAnsi="Times New Roman" w:eastAsia="Times New Roman" w:cs="Times New Roman"/>
          <w:b/>
          <w:color w:val="000000"/>
          <w:spacing w:val="-4"/>
          <w:sz w:val="24"/>
        </w:rPr>
        <w:t xml:space="preserve"> </w:t>
      </w:r>
      <w:r/>
    </w:p>
    <w:p>
      <w:pPr>
        <w:pBdr>
          <w:top w:val="none" w:color="000000" w:sz="4" w:space="0"/>
          <w:left w:val="none" w:color="000000" w:sz="4" w:space="0"/>
          <w:bottom w:val="none" w:color="000000" w:sz="4" w:space="0"/>
          <w:right w:val="none" w:color="000000" w:sz="4" w:space="0"/>
        </w:pBdr>
        <w:spacing w:after="120" w:before="120" w:line="264" w:lineRule="auto"/>
        <w:ind w:right="0" w:firstLine="0" w:left="0"/>
        <w:rPr/>
      </w:pPr>
      <w:r>
        <w:rPr>
          <w:rFonts w:ascii="Times New Roman" w:hAnsi="Times New Roman" w:eastAsia="Times New Roman" w:cs="Times New Roman"/>
          <w:b/>
          <w:color w:val="000000"/>
          <w:spacing w:val="-4"/>
          <w:sz w:val="24"/>
        </w:rPr>
        <w:t xml:space="preserve"> </w:t>
      </w:r>
      <w:r/>
    </w:p>
    <w:p>
      <w:pPr>
        <w:pBdr>
          <w:top w:val="none" w:color="000000" w:sz="4" w:space="0"/>
          <w:left w:val="none" w:color="000000" w:sz="4" w:space="0"/>
          <w:bottom w:val="none" w:color="000000" w:sz="4" w:space="0"/>
          <w:right w:val="none" w:color="000000" w:sz="4" w:space="0"/>
        </w:pBdr>
        <w:spacing w:after="120" w:before="120" w:line="264" w:lineRule="auto"/>
        <w:ind w:right="0" w:firstLine="0" w:left="0"/>
        <w:rPr/>
      </w:pPr>
      <w:r>
        <w:rPr>
          <w:rFonts w:ascii="Times New Roman" w:hAnsi="Times New Roman" w:eastAsia="Times New Roman" w:cs="Times New Roman"/>
          <w:b/>
          <w:color w:val="000000"/>
          <w:spacing w:val="-4"/>
          <w:sz w:val="24"/>
        </w:rPr>
        <w:t xml:space="preserve"> </w:t>
      </w:r>
      <w:r/>
    </w:p>
    <w:p>
      <w:pPr>
        <w:pBdr>
          <w:top w:val="none" w:color="000000" w:sz="4" w:space="0"/>
          <w:left w:val="none" w:color="000000" w:sz="4" w:space="0"/>
          <w:bottom w:val="none" w:color="000000" w:sz="4" w:space="0"/>
          <w:right w:val="none" w:color="000000" w:sz="4" w:space="0"/>
        </w:pBdr>
        <w:spacing w:after="120" w:before="120" w:line="312" w:lineRule="auto"/>
        <w:ind w:right="0" w:firstLine="0" w:left="0"/>
        <w:rPr/>
      </w:pPr>
      <w:r>
        <w:rPr>
          <w:rFonts w:ascii="Times New Roman" w:hAnsi="Times New Roman" w:eastAsia="Times New Roman" w:cs="Times New Roman"/>
          <w:b/>
          <w:color w:val="000000"/>
          <w:spacing w:val="-4"/>
          <w:sz w:val="24"/>
        </w:rPr>
        <w:t xml:space="preserve">12. Các tài liệu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Báo cáo kết quả thẩm định giá.</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Các phụ lục chi tiết kèm theo.</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Chứng thư thẩm định giá được phát hành 03 (ba) bản chính bằng tiếng Việt, cấp cho quý khách hàng 02 (hai) bản, lưu lại Công ty Cổ phần Thẩm định và Đầu tư Tài chính Hoa Sen 01 (một) bản có giá trị pháp lý như nhau.</w:t>
      </w:r>
      <w:r/>
    </w:p>
    <w:p>
      <w:pPr>
        <w:pBdr>
          <w:top w:val="none" w:color="000000" w:sz="4" w:space="0"/>
          <w:left w:val="none" w:color="000000" w:sz="4" w:space="0"/>
          <w:bottom w:val="none" w:color="000000" w:sz="4" w:space="0"/>
          <w:right w:val="none" w:color="000000" w:sz="4" w:space="0"/>
        </w:pBdr>
        <w:tabs>
          <w:tab w:val="left" w:leader="none" w:pos="5202"/>
        </w:tabs>
        <w:spacing w:after="120" w:before="120" w:line="276" w:lineRule="auto"/>
        <w:ind w:right="0" w:firstLine="431" w:left="0"/>
        <w:jc w:val="both"/>
        <w:rPr/>
      </w:pPr>
      <w:r>
        <w:rPr>
          <w:rFonts w:ascii="Times New Roman" w:hAnsi="Times New Roman" w:eastAsia="Times New Roman" w:cs="Times New Roman"/>
          <w:color w:val="000000"/>
          <w:spacing w:val="-6"/>
          <w:sz w:val="24"/>
        </w:rPr>
        <w:t xml:space="preserve"> - Mọi hình thức sao chép báo cáo và chứng thư thẩm định giá không có sự đồng ý bằng văn bản của Công ty Cổ phần Thẩm định và Đầu tư Tài chính Hoa Sen đều là hành vi vi phạm pháp luật.</w:t>
      </w:r>
      <w:r/>
    </w:p>
    <w:tbl>
      <w:tblPr>
        <w:tblStyle w:val="1049"/>
        <w:tblInd w:w="0" w:type="dxa"/>
        <w:tblW w:w="485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54"/>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Lê Thị Thịnh</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Số thẻ thẩm định viên về giá: VIII13.990</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color w:val="000000"/>
          <w:sz w:val="24"/>
        </w:rPr>
        <w:t xml:space="preserve"> </w:t>
      </w:r>
      <w:r/>
    </w:p>
    <w:tbl>
      <w:tblPr>
        <w:tblStyle w:val="1049"/>
        <w:tblInd w:w="-28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2226"/>
        <w:gridCol w:w="2024"/>
        <w:gridCol w:w="5775"/>
        <w:gridCol w:w="57"/>
      </w:tblGrid>
      <w:tr>
        <w:trPr>
          <w:gridAfter w:val="1"/>
          <w:trHeight w:val="1843"/>
        </w:trPr>
        <w:tc>
          <w:tcPr>
            <w:tcBorders/>
            <w:tcMar>
              <w:left w:w="108" w:type="dxa"/>
              <w:top w:w="0" w:type="dxa"/>
              <w:right w:w="108" w:type="dxa"/>
              <w:bottom w:w="0" w:type="dxa"/>
            </w:tcMar>
            <w:tcW w:w="2226" w:type="dxa"/>
            <w:vAlign w:val="top"/>
            <w:textDirection w:val="lrTb"/>
            <w:noWrap w:val="false"/>
          </w:tcPr>
          <w:p>
            <w:pPr>
              <w:pBdr>
                <w:top w:val="none" w:color="000000" w:sz="4" w:space="0"/>
                <w:left w:val="none" w:color="000000" w:sz="4" w:space="0"/>
                <w:bottom w:val="none" w:color="000000" w:sz="4" w:space="0"/>
                <w:right w:val="none" w:color="000000" w:sz="4" w:space="0"/>
              </w:pBdr>
              <w:spacing w:line="360" w:lineRule="auto"/>
              <w:ind w:right="0" w:hanging="108" w:left="0"/>
              <w:rPr/>
            </w:pPr>
            <w:r>
              <mc:AlternateContent>
                <mc:Choice Requires="wpg">
                  <w:drawing>
                    <wp:inline xmlns:wp="http://schemas.openxmlformats.org/drawingml/2006/wordprocessingDrawing" distT="0" distB="0" distL="0" distR="0">
                      <wp:extent cx="1019175" cy="923925"/>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848586" name=""/>
                              <pic:cNvPicPr>
                                <a:picLocks noChangeAspect="1"/>
                              </pic:cNvPicPr>
                              <pic:nvPr/>
                            </pic:nvPicPr>
                            <pic:blipFill rotWithShape="1">
                              <a:blip r:embed="rId14"/>
                              <a:stretch/>
                            </pic:blipFill>
                            <pic:spPr bwMode="auto">
                              <a:xfrm rot="0" flipH="0" flipV="0">
                                <a:off x="0" y="0"/>
                                <a:ext cx="10191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25pt;height:72.75pt;mso-wrap-distance-left:0.00pt;mso-wrap-distance-top:0.00pt;mso-wrap-distance-right:0.00pt;mso-wrap-distance-bottom:0.00pt;rotation:0;z-index:1;" stroked="false">
                      <v:imagedata r:id="rId14" o:title=""/>
                      <o:lock v:ext="edit" rotation="t"/>
                    </v:shape>
                  </w:pict>
                </mc:Fallback>
              </mc:AlternateContent>
            </w:r>
            <w:r/>
          </w:p>
        </w:tc>
        <w:tc>
          <w:tcPr>
            <w:gridSpan w:val="2"/>
            <w:tcBorders/>
            <w:tcMar>
              <w:left w:w="108" w:type="dxa"/>
              <w:top w:w="0" w:type="dxa"/>
              <w:right w:w="108" w:type="dxa"/>
              <w:bottom w:w="0" w:type="dxa"/>
            </w:tcMar>
            <w:tcW w:w="7799" w:type="dxa"/>
            <w:vAlign w:val="top"/>
            <w:textDirection w:val="lrTb"/>
            <w:noWrap w:val="false"/>
          </w:tcPr>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Trụ sở: BT5 - 23, Khu đô thị mới Văn Phú, Phường Kiến Hưng, TP Hà Nội</w:t>
            </w:r>
            <w:r/>
          </w:p>
          <w:p>
            <w:pPr>
              <w:pBdr>
                <w:top w:val="none" w:color="000000" w:sz="4" w:space="0"/>
                <w:left w:val="none" w:color="000000" w:sz="4" w:space="0"/>
                <w:bottom w:val="none" w:color="000000" w:sz="4" w:space="0"/>
                <w:right w:val="none" w:color="000000" w:sz="4" w:space="0"/>
              </w:pBdr>
              <w:spacing w:line="312" w:lineRule="auto"/>
              <w:ind w:right="0" w:firstLine="0" w:left="0"/>
              <w:jc w:val="both"/>
              <w:rPr/>
            </w:pPr>
            <w:r>
              <w:rPr>
                <w:rFonts w:ascii="Times New Roman" w:hAnsi="Times New Roman" w:eastAsia="Times New Roman" w:cs="Times New Roman"/>
                <w:color w:val="000000"/>
                <w:sz w:val="24"/>
              </w:rPr>
              <w:t xml:space="preserve">Điện thoại:  085 329 3333/ 024 2264 4333</w:t>
            </w:r>
            <w:r/>
          </w:p>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Email: </w:t>
              <w:tab/>
            </w:r>
            <w:hyperlink r:id="rId16" w:tooltip="mailto:ilotus.contact@gmail.com" w:history="1">
              <w:r>
                <w:rPr>
                  <w:rStyle w:val="1035"/>
                  <w:rFonts w:ascii="Times New Roman" w:hAnsi="Times New Roman" w:eastAsia="Times New Roman" w:cs="Times New Roman"/>
                  <w:color w:val="000000"/>
                  <w:sz w:val="24"/>
                  <w:u w:val="none"/>
                </w:rPr>
                <w:t xml:space="preserve">ilotus.contact@gmail.com</w:t>
              </w:r>
            </w:hyperlink>
            <w:r>
              <w:rPr>
                <w:rFonts w:ascii="Times New Roman" w:hAnsi="Times New Roman" w:eastAsia="Times New Roman" w:cs="Times New Roman"/>
                <w:color w:val="000000"/>
                <w:sz w:val="24"/>
              </w:rPr>
              <w:t xml:space="preserve">                         Website: ilotus.com.vn</w:t>
            </w:r>
            <w:r/>
          </w:p>
        </w:tc>
      </w:tr>
      <w:tr>
        <w:trPr>
          <w:gridAfter w:val="1"/>
          <w:trHeight w:val="330"/>
        </w:trPr>
        <w:tc>
          <w:tcPr>
            <w:gridSpan w:val="2"/>
            <w:tcBorders/>
            <w:tcMar>
              <w:left w:w="108" w:type="dxa"/>
              <w:top w:w="0" w:type="dxa"/>
              <w:right w:w="108" w:type="dxa"/>
              <w:bottom w:w="0" w:type="dxa"/>
            </w:tcMar>
            <w:tcW w:w="4250"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w:t>
            </w:r>
            <w:r>
              <w:rPr>
                <w:rFonts w:ascii="Times New Roman" w:hAnsi="Times New Roman" w:eastAsia="Times New Roman" w:cs="Times New Roman"/>
                <w:color w:val="000000"/>
                <w:sz w:val="24"/>
                <w:highlight w:val="white"/>
              </w:rPr>
              <w:t xml:space="preserve">275/2026/1398/VFI-BC.44.A</w:t>
            </w:r>
            <w:r/>
          </w:p>
        </w:tc>
        <w:tc>
          <w:tcPr>
            <w:tcBorders/>
            <w:tcMar>
              <w:left w:w="108" w:type="dxa"/>
              <w:top w:w="0" w:type="dxa"/>
              <w:right w:w="108" w:type="dxa"/>
              <w:bottom w:w="0" w:type="dxa"/>
            </w:tcMar>
            <w:tcW w:w="5775" w:type="dxa"/>
            <w:vAlign w:val="top"/>
            <w:textDirection w:val="lrTb"/>
            <w:noWrap w:val="false"/>
          </w:tcPr>
          <w:p>
            <w:pPr>
              <w:pBdr>
                <w:top w:val="none" w:color="000000" w:sz="4" w:space="0"/>
                <w:left w:val="none" w:color="000000" w:sz="4" w:space="0"/>
                <w:bottom w:val="none" w:color="000000" w:sz="4" w:space="0"/>
                <w:right w:val="none" w:color="000000" w:sz="4" w:space="0"/>
              </w:pBdr>
              <w:spacing w:after="60" w:before="0"/>
              <w:ind w:right="-56" w:firstLine="0" w:left="0"/>
              <w:jc w:val="right"/>
              <w:rPr/>
            </w:pPr>
            <w:r>
              <w:rPr>
                <w:rFonts w:ascii="Times New Roman" w:hAnsi="Times New Roman" w:eastAsia="Times New Roman" w:cs="Times New Roman"/>
                <w:i/>
                <w:color w:val="000000"/>
                <w:sz w:val="24"/>
              </w:rPr>
              <w:t xml:space="preserve">TP. Hà Nội, ngày 09 tháng 9 năm 2026</w:t>
            </w:r>
            <w:r/>
          </w:p>
        </w:tc>
      </w:tr>
      <w:tr>
        <w:trPr/>
        <w:tc>
          <w:tcPr>
            <w:tcBorders/>
            <w:tcMar>
              <w:left w:w="0" w:type="dxa"/>
              <w:top w:w="0" w:type="dxa"/>
              <w:right w:w="0" w:type="dxa"/>
              <w:bottom w:w="0" w:type="dxa"/>
            </w:tcMar>
            <w:tcW w:w="2226"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2024"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5775"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57"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tabs>
          <w:tab w:val="left" w:leader="none" w:pos="5103"/>
        </w:tabs>
        <w:spacing w:before="200" w:line="340" w:lineRule="atLeast"/>
        <w:ind w:right="0" w:firstLine="0" w:left="0"/>
        <w:jc w:val="center"/>
        <w:rPr/>
      </w:pPr>
      <w:r>
        <w:rPr>
          <w:rFonts w:ascii="Times New Roman" w:hAnsi="Times New Roman" w:eastAsia="Times New Roman" w:cs="Times New Roman"/>
          <w:b/>
          <w:color w:val="000000"/>
          <w:sz w:val="30"/>
        </w:rPr>
        <w:t xml:space="preserve">BÁO CÁO KẾT QUẢ THẨM ĐỊNH GIÁ</w:t>
      </w:r>
      <w:r/>
    </w:p>
    <w:p>
      <w:pPr>
        <w:pStyle w:val="1024"/>
        <w:pBdr>
          <w:top w:val="none" w:color="000000" w:sz="4" w:space="0"/>
          <w:left w:val="none" w:color="000000" w:sz="4" w:space="0"/>
          <w:bottom w:val="none" w:color="000000" w:sz="4" w:space="0"/>
          <w:right w:val="none" w:color="000000" w:sz="4" w:space="0"/>
        </w:pBdr>
        <w:tabs>
          <w:tab w:val="left" w:leader="none" w:pos="4820"/>
        </w:tabs>
        <w:spacing w:after="200" w:before="100" w:line="340" w:lineRule="atLeast"/>
        <w:ind w:right="0" w:hanging="180" w:left="0"/>
        <w:jc w:val="center"/>
        <w:rPr/>
      </w:pPr>
      <w:r>
        <w:rPr>
          <w:rFonts w:ascii="Times New Roman" w:hAnsi="Times New Roman" w:eastAsia="Times New Roman" w:cs="Times New Roman"/>
          <w:i/>
          <w:color w:val="000000"/>
          <w:spacing w:val="-6"/>
          <w:sz w:val="24"/>
        </w:rPr>
        <w:t xml:space="preserve">(Kèm theo Chứng thư thẩm định giá số: 275/2026/1398/VFI-CT.44.A ngày 09 tháng 9 năm 2026)</w:t>
      </w:r>
      <w:r/>
    </w:p>
    <w:p>
      <w:pPr>
        <w:pStyle w:val="1024"/>
        <w:pBdr>
          <w:top w:val="none" w:color="000000" w:sz="4" w:space="0"/>
          <w:left w:val="none" w:color="000000" w:sz="4" w:space="0"/>
          <w:bottom w:val="none" w:color="000000" w:sz="4" w:space="0"/>
          <w:right w:val="none" w:color="000000" w:sz="4" w:space="0"/>
        </w:pBdr>
        <w:tabs>
          <w:tab w:val="left" w:leader="none" w:pos="4820"/>
        </w:tabs>
        <w:spacing w:after="200" w:before="0" w:line="340" w:lineRule="atLeast"/>
        <w:ind w:right="0" w:firstLine="0" w:left="0"/>
        <w:jc w:val="both"/>
        <w:rPr/>
      </w:pPr>
      <w:r>
        <w:rPr>
          <w:rFonts w:ascii="Times New Roman" w:hAnsi="Times New Roman" w:eastAsia="Times New Roman" w:cs="Times New Roman"/>
          <w:b/>
          <w:color w:val="000000"/>
          <w:sz w:val="24"/>
        </w:rPr>
        <w:t xml:space="preserve">I. THÔNG TIN VỀ DOANH NGHIỆP THẨM ĐỊNH GIÁ </w:t>
      </w:r>
      <w:r/>
    </w:p>
    <w:tbl>
      <w:tblPr>
        <w:tblStyle w:val="1049"/>
        <w:tblInd w:w="-34"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52"/>
        <w:gridCol w:w="289"/>
        <w:gridCol w:w="6940"/>
      </w:tblGrid>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Đơn vị thẩm định</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b/>
                <w:color w:val="000000"/>
                <w:spacing w:val="-4"/>
                <w:sz w:val="24"/>
              </w:rPr>
              <w:t xml:space="preserve">CÔNG TY CP THẨM ĐỊNH VÀ ĐẦU TƯ TÀI CHÍNH HOA SEN</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 trụ sở</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pacing w:val="-2"/>
                <w:sz w:val="24"/>
              </w:rPr>
              <w:t xml:space="preserve">BT5 - 23, Khu đô thị mới Văn Phú, Phường Kiến Hưng, TP Hà Nội</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Điện thoại</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3382"/>
              </w:tabs>
              <w:spacing w:after="60" w:before="60" w:line="276" w:lineRule="auto"/>
              <w:ind w:right="0" w:firstLine="0" w:left="0"/>
              <w:rPr/>
            </w:pPr>
            <w:r>
              <w:rPr>
                <w:rFonts w:ascii="Times New Roman" w:hAnsi="Times New Roman" w:eastAsia="Times New Roman" w:cs="Times New Roman"/>
                <w:color w:val="000000"/>
                <w:sz w:val="24"/>
              </w:rPr>
              <w:t xml:space="preserve">024 2264 4333</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0102708994</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GCN đủ điều kiện hành nghề</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275/TĐG</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khoản số</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4"/>
                <w:sz w:val="24"/>
              </w:rPr>
              <w:t xml:space="preserve">1505112366666 tại Agribank Chi nhánh Hà Nội II</w:t>
            </w:r>
            <w:r/>
          </w:p>
        </w:tc>
      </w:tr>
      <w:tr>
        <w:trPr>
          <w:trHeight w:val="20"/>
        </w:trPr>
        <w:tc>
          <w:tcPr>
            <w:tcBorders/>
            <w:tcMar>
              <w:left w:w="108" w:type="dxa"/>
              <w:top w:w="0" w:type="dxa"/>
              <w:right w:w="108"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289"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b/>
                <w:color w:val="000000"/>
                <w:sz w:val="24"/>
              </w:rPr>
              <w:t xml:space="preserve">Ông Vũ Văn Quân </w:t>
              <w:tab/>
              <w:t xml:space="preserve">Chức vụ: Chủ tịch HĐQT kiêm Tổng GĐ</w:t>
            </w:r>
            <w:r/>
          </w:p>
        </w:tc>
      </w:tr>
    </w:tbl>
    <w:p>
      <w:pPr>
        <w:pBdr>
          <w:top w:val="none" w:color="000000" w:sz="4" w:space="0"/>
          <w:left w:val="none" w:color="000000" w:sz="4" w:space="0"/>
          <w:bottom w:val="none" w:color="000000" w:sz="4" w:space="0"/>
          <w:right w:val="none" w:color="000000" w:sz="4" w:space="0"/>
        </w:pBdr>
        <w:tabs>
          <w:tab w:val="left" w:leader="none" w:pos="284"/>
        </w:tabs>
        <w:spacing w:after="120" w:before="0" w:line="320" w:lineRule="atLeast"/>
        <w:ind w:right="0" w:firstLine="0" w:left="0"/>
        <w:jc w:val="both"/>
        <w:rPr/>
      </w:pPr>
      <w:r>
        <w:rPr>
          <w:rFonts w:ascii="Times New Roman" w:hAnsi="Times New Roman" w:eastAsia="Times New Roman" w:cs="Times New Roman"/>
          <w:b/>
          <w:color w:val="000000"/>
          <w:sz w:val="24"/>
        </w:rPr>
        <w:t xml:space="preserve">II. THÔNG TIN CƠ BẢN VỀ CUỘC THẨM ĐỊNH GIÁ</w:t>
      </w:r>
      <w:r/>
    </w:p>
    <w:p>
      <w:pPr>
        <w:pBdr>
          <w:top w:val="none" w:color="000000" w:sz="4" w:space="0"/>
          <w:left w:val="none" w:color="000000" w:sz="4" w:space="0"/>
          <w:bottom w:val="none" w:color="000000" w:sz="4" w:space="0"/>
          <w:right w:val="none" w:color="000000" w:sz="4" w:space="0"/>
        </w:pBdr>
        <w:tabs>
          <w:tab w:val="left" w:leader="none" w:pos="284"/>
        </w:tabs>
        <w:spacing w:after="120" w:before="120" w:line="320" w:lineRule="atLeast"/>
        <w:ind w:right="0" w:firstLine="0" w:left="0"/>
        <w:jc w:val="both"/>
        <w:rPr/>
      </w:pPr>
      <w:r>
        <w:rPr>
          <w:rFonts w:ascii="Times New Roman" w:hAnsi="Times New Roman" w:eastAsia="Times New Roman" w:cs="Times New Roman"/>
          <w:b/>
          <w:color w:val="000000"/>
          <w:sz w:val="24"/>
        </w:rPr>
        <w:t xml:space="preserve">1. Thông tin cơ bản về cuộc thẩm định giá:</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518"/>
        <w:gridCol w:w="284"/>
        <w:gridCol w:w="6945"/>
      </w:tblGrid>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Ông Nguyễn Văn Vương</w:t>
            </w:r>
            <w:r/>
          </w:p>
        </w:tc>
      </w:tr>
      <w:tr>
        <w:trPr>
          <w:trHeight w:val="458"/>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CCCD:</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027076013654</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Địa chỉ</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Khu Dương Ô, Phong Khê, thành phố Bắc Ninh, tỉnh Bắc Ninh </w:t>
            </w:r>
            <w:r>
              <w:rPr>
                <w:rFonts w:ascii="Times New Roman" w:hAnsi="Times New Roman" w:eastAsia="Times New Roman" w:cs="Times New Roman"/>
                <w:i/>
                <w:color w:val="000000"/>
                <w:sz w:val="24"/>
              </w:rPr>
              <w:t xml:space="preserve">(nay là phường Võ Cường, thành phố Bắc Ninh)</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Tài sản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thẩm định 01: </w:t>
            </w:r>
            <w:r>
              <w:rPr>
                <w:rFonts w:ascii="Times New Roman" w:hAnsi="Times New Roman" w:eastAsia="Times New Roman" w:cs="Times New Roman"/>
                <w:color w:val="000000"/>
                <w:sz w:val="24"/>
              </w:rPr>
              <w:t xml:space="preserve">Quyền sử dụng đất tại thửa đất số: 512, tờ bản đồ số: ./., có địa chỉ: Thôn Dương Ổ, xã Phong Khê, huyện Yên Phong, tỉnh Bắc Ninh (</w:t>
            </w:r>
            <w:r>
              <w:rPr>
                <w:rFonts w:ascii="Times New Roman" w:hAnsi="Times New Roman" w:eastAsia="Times New Roman" w:cs="Times New Roman"/>
                <w:i/>
                <w:color w:val="000000"/>
                <w:sz w:val="24"/>
              </w:rPr>
              <w:t xml:space="preserve">nay là phường Võ Cường, thành phố Bắc Ninh</w:t>
            </w:r>
            <w:r>
              <w:rPr>
                <w:rFonts w:ascii="Times New Roman" w:hAnsi="Times New Roman" w:eastAsia="Times New Roman" w:cs="Times New Roman"/>
                <w:color w:val="000000"/>
                <w:sz w:val="24"/>
              </w:rPr>
              <w:t xml:space="preserve">) theo Giấy chứng nhận quyền sử dụng đất số: R 461077, Số vào sổ cấp GCN: 00177/QSDĐ/1201 do UBND huyện Yên Phong cấp ngày 10/10/2002; Chủ sử dụng đất là Ông Nguyễn Văn Vương;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Tài sản thẩm định 02:</w:t>
            </w:r>
            <w:r>
              <w:rPr>
                <w:rFonts w:ascii="Times New Roman" w:hAnsi="Times New Roman" w:eastAsia="Times New Roman" w:cs="Times New Roman"/>
                <w:color w:val="000000"/>
                <w:sz w:val="24"/>
              </w:rPr>
              <w:t xml:space="preserve"> Quyền sử dụng đất và tài sản gắn liền với đất tại thửa đất số: 462, tờ bản đồ số: 24, có địa chỉ: Thôn Dương Ổ, xã Phong Khê, huyện Yên Phong, tỉnh Bắc Ninh </w:t>
            </w:r>
            <w:r>
              <w:rPr>
                <w:rFonts w:ascii="Times New Roman" w:hAnsi="Times New Roman" w:eastAsia="Times New Roman" w:cs="Times New Roman"/>
                <w:i/>
                <w:color w:val="000000"/>
                <w:sz w:val="24"/>
              </w:rPr>
              <w:t xml:space="preserve">(nay là Phường Võ Cường, thành phố Bắc Ninh)</w:t>
            </w:r>
            <w:r>
              <w:rPr>
                <w:rFonts w:ascii="Times New Roman" w:hAnsi="Times New Roman" w:eastAsia="Times New Roman" w:cs="Times New Roman"/>
                <w:color w:val="000000"/>
                <w:sz w:val="24"/>
              </w:rPr>
              <w:t xml:space="preserve"> theo Giấy chứng nhận quyền sử dụng đất số: X 399916, Số vào sổ cấp GCN: 00273 QSDĐ/285 do UBND huyện Yên Phong cấp ngày 22/03/2003; Chủ sử dụng đất là </w:t>
            </w:r>
            <w:r>
              <w:rPr>
                <w:rFonts w:ascii="Times New Roman" w:hAnsi="Times New Roman" w:eastAsia="Times New Roman" w:cs="Times New Roman"/>
                <w:color w:val="ff0000"/>
                <w:sz w:val="24"/>
              </w:rPr>
              <w:t xml:space="preserve">Hộ Ông Nguyễn </w:t>
            </w:r>
            <w:r>
              <w:rPr>
                <w:rFonts w:ascii="Times New Roman" w:hAnsi="Times New Roman" w:eastAsia="Times New Roman" w:cs="Times New Roman"/>
                <w:color w:val="000000"/>
                <w:sz w:val="24"/>
              </w:rPr>
              <w:t xml:space="preserve">Văn Vương.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Mục đích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Kết quả thẩm định giá để khách hàng tham khảo giá trị tài sản phục vụ công tác vay vốn tại ngân hàng SHB</w:t>
            </w:r>
            <w:r>
              <w:rPr>
                <w:rFonts w:ascii="Times New Roman" w:hAnsi="Times New Roman" w:eastAsia="Times New Roman" w:cs="Times New Roman"/>
                <w:color w:val="000000"/>
                <w:sz w:val="24"/>
              </w:rPr>
              <w:t xml:space="preserve">.</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12"/>
                <w:sz w:val="24"/>
              </w:rPr>
              <w:t xml:space="preserve">Cơ sở giá trị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851"/>
              </w:tabs>
              <w:spacing w:after="60" w:before="60" w:line="276" w:lineRule="auto"/>
              <w:ind w:right="0" w:firstLine="0" w:left="0"/>
              <w:jc w:val="both"/>
              <w:rPr/>
            </w:pPr>
            <w:r>
              <w:rPr>
                <w:rFonts w:ascii="Times New Roman" w:hAnsi="Times New Roman" w:eastAsia="Times New Roman" w:cs="Times New Roman"/>
                <w:color w:val="000000"/>
                <w:spacing w:val="-4"/>
                <w:sz w:val="24"/>
              </w:rPr>
              <w:t xml:space="preserve">Giá trị thị trường.</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Tháng 9/2026.</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Địa điểm thẩm định giá</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Phường Võ Cường, Tỉnh Bắc Ninh </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Vị trí tài sản thẩm định </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60"/>
              <w:ind w:right="0" w:firstLine="0" w:left="0"/>
              <w:rPr/>
            </w:pPr>
            <w:r>
              <w:rPr>
                <w:rFonts w:ascii="Times New Roman" w:hAnsi="Times New Roman" w:eastAsia="Times New Roman" w:cs="Times New Roman"/>
                <w:color w:val="000000"/>
                <w:sz w:val="24"/>
              </w:rPr>
              <w:t xml:space="preserve">(21.163222222222, 106.03169444444)</w:t>
            </w:r>
            <w:r/>
          </w:p>
        </w:tc>
      </w:tr>
      <w:tr>
        <w:trPr>
          <w:trHeight w:val="20"/>
        </w:trPr>
        <w:tc>
          <w:tcPr>
            <w:tcBorders/>
            <w:tcMar>
              <w:left w:w="108" w:type="dxa"/>
              <w:top w:w="0" w:type="dxa"/>
              <w:right w:w="108" w:type="dxa"/>
              <w:bottom w:w="0" w:type="dxa"/>
            </w:tcMar>
            <w:tcW w:w="2518"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pacing w:val="-6"/>
                <w:sz w:val="24"/>
              </w:rPr>
              <w:t xml:space="preserve">Thời điểm khảo sát</w:t>
            </w:r>
            <w:r/>
          </w:p>
        </w:tc>
        <w:tc>
          <w:tcPr>
            <w:tcBorders/>
            <w:tcMar>
              <w:left w:w="108" w:type="dxa"/>
              <w:top w:w="0" w:type="dxa"/>
              <w:right w:w="108" w:type="dxa"/>
              <w:bottom w:w="0" w:type="dxa"/>
            </w:tcMar>
            <w:tcW w:w="284"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94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jc w:val="both"/>
              <w:rPr/>
            </w:pPr>
            <w:r>
              <w:rPr>
                <w:rFonts w:ascii="Times New Roman" w:hAnsi="Times New Roman" w:eastAsia="Times New Roman" w:cs="Times New Roman"/>
                <w:color w:val="000000"/>
                <w:sz w:val="24"/>
              </w:rPr>
              <w:t xml:space="preserve">08/9/2026.</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pacing w:val="-6"/>
          <w:sz w:val="24"/>
        </w:rPr>
        <w:t xml:space="preserve">2. Các nguồn thông tin được sử dụng trong quá trình thẩm định giá và xem xét đánh giá các thông tin thu thập</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6"/>
          <w:sz w:val="24"/>
        </w:rPr>
        <w:t xml:space="preserve">Tham khảo nguồn thông tin từ các trang giao bán bất động sản qua mạng Internet, gọi điện trực tiếp</w:t>
      </w:r>
      <w:r>
        <w:rPr>
          <w:rFonts w:ascii="Times New Roman" w:hAnsi="Times New Roman" w:eastAsia="Times New Roman" w:cs="Times New Roman"/>
          <w:color w:val="000000"/>
          <w:sz w:val="24"/>
        </w:rPr>
        <w:t xml:space="preserve">.</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Tham khảo nguồn thông tin trực tiếp từ những người dân sinh sống xung quanh trên địa bàn.</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Đánh giá nguồn thông tin thu thập: Nguồn thông tin thu thập khách quan và phổ biến trên thị trường.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 Căn cứ pháp lý</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3.1. Văn bản quy phạm pháp luật:</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  </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Luật Giá số 16/2023/QH15 ngày 19/6/2023;</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Đất đai số 31/2024/QH15 đã được Quốc hội nước Cộng hòa xã hội chủ nghĩa Việt Nam khóa XV, kỳ họp bất thường lần thứ 5 thông qua ngày 18 tháng 01 năm 2024;</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Xây dựng số 50/2014/QH13 đã được Quốc hội nước Cộng hòa xã hội chủ nghĩa Việt Nam khóa XIII, kỳ họp thứ 7 thông qua ngày 18 tháng 6 năm 2014;</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số 62/2020/QH14 đã được Quốc hội nước Cộng hòa xã hội chủ nghĩa Việt Nam khóa XIV, kỳ họp thứ 9 thông qua ngày 17 tháng 6 năm 2020 về việc Sửa đổi, bổ sung một số điều của Luật Xây dựng;</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Luật Nhà ở số 27/2023/QH15 đã được Quốc hội nước Cộng hòa xã hội chủ nghĩa Việt Nam khóa XV, kỳ họp thứ 6 thông qua ngày 27 tháng 11 năm 2023;</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rPr/>
      </w:pPr>
      <w:r>
        <w:rPr>
          <w:rFonts w:ascii="Times New Roman" w:hAnsi="Times New Roman" w:eastAsia="Times New Roman" w:cs="Times New Roman"/>
          <w:color w:val="000000"/>
          <w:sz w:val="24"/>
        </w:rPr>
        <w:t xml:space="preserve">Nghị định số 71/2024/NĐ-CP ngày 27/6/2024 của Chính phủ Quy định về giá đất;</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Nghị định số 103/2024/NĐ-CP ngày 30/7/2024 của Chính phủ quy định về thu tiền sử dụng đất, tiền thuê đất;</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28/2024/TT-BTC ngày 16/5/2024 của Bộ Tài chính Quy định về trình tự, thủ tục kiểm tra việc chấp hành pháp luật về giá, thẩm định giá do Bộ trưởng Bộ Tài chính ban hành;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30/2024/TT-BTC ngày 16/5/2024 của Bộ Tài chính ban hành các chuẩn mực thẩm định giá Việt Nam về quy tắc đạo đức nghề nghiệp thẩm định giá, phạm vi công việc thẩm định giá, cơ sở giá trị thẩm định giá, hồ sơ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31/2024/TT-BTC ngày 16/5/2024 của Bộ Tài chính ban hành chuẩn mực thẩm định giá Việt Nam về thu thập và phân tích thông tin về tài sản thẩm định giá;</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32/2024/TT-BTC ngày 16/5/2024 của Bộ Tài chính ban hành các chuẩn mực thẩm định giá Việt Nam về cách tiếp cận từ thị trường, cách tiếp cận từ chi phí, cách tiếp cận từ thu nhập;</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36/2024/TT-BTC ngày 16/5/2024 của Bộ Tài chính ban hành chuẩn mực thẩm định giá Việt Nam về thẩm định giá doanh nghiệp;</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37/2024/TT-BTC ngày 16/5/2024 của Bộ Tài chính ban hành chuẩn mực thẩm định giá Việt Nam về thẩm định giá tài sản vô hình;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42/2024/TT-BTC ngày 20/6/2024 của Bộ Tài chính ban hành chuẩn mực thẩm định giá Việt Nam về thẩm định giá bất động sản;</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số 45/2013/TT-BTC ngày 24/5/2013 của Bộ Tài chính về việc hướng dẫn chế độ quản lý, sử dụng và trích khấu hao tài sản cố định;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4"/>
          <w:sz w:val="24"/>
        </w:rPr>
        <w:t xml:space="preserve">Thông tư số 28/2017/TT-BTC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w:t>
      </w:r>
      <w:r>
        <w:rPr>
          <w:rFonts w:ascii="Times New Roman" w:hAnsi="Times New Roman" w:eastAsia="Times New Roman" w:cs="Times New Roman"/>
          <w:color w:val="000000"/>
          <w:spacing w:val="-4"/>
          <w:sz w:val="24"/>
        </w:rPr>
        <w:t xml:space="preserve">ài sản cố định;</w:t>
      </w:r>
      <w:r/>
    </w:p>
    <w:p>
      <w:pPr>
        <w:numPr>
          <w:ilvl w:val="0"/>
          <w:numId w:val="43"/>
        </w:numPr>
        <w:pBdr>
          <w:top w:val="none" w:color="000000" w:sz="4" w:space="0"/>
          <w:left w:val="none" w:color="000000" w:sz="4" w:space="0"/>
          <w:bottom w:val="none" w:color="000000" w:sz="4" w:space="0"/>
          <w:right w:val="none" w:color="000000" w:sz="4" w:space="0"/>
        </w:pBdr>
        <w:spacing w:after="120" w:before="120" w:line="300" w:lineRule="auto"/>
        <w:ind/>
        <w:jc w:val="both"/>
        <w:rPr/>
      </w:pPr>
      <w:r>
        <w:rPr>
          <w:rFonts w:ascii="Times New Roman" w:hAnsi="Times New Roman" w:eastAsia="Times New Roman" w:cs="Times New Roman"/>
          <w:color w:val="000000"/>
          <w:sz w:val="24"/>
        </w:rPr>
        <w:t xml:space="preserve">Quyết định số 425/QĐ-BXD ngày 30/03/2026 của Bộ Xây dựng về việc Công bố suất vốn đầu tư xây dựng công trình và giá xây dựng tổng hợp bộ phận kết cấu công trình năm 2025;</w:t>
      </w:r>
      <w:r/>
    </w:p>
    <w:p>
      <w:pPr>
        <w:numPr>
          <w:ilvl w:val="0"/>
          <w:numId w:val="42"/>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Công văn số 1326/BXD-QLN của Bộ Xây dựng ban hành ngày 08/8/2011 về việc hướng dẫn kiểm kê, đánh giá lại giá trị tài sản cố định là nhà, vật kiến trúc;</w:t>
      </w:r>
      <w:r/>
    </w:p>
    <w:p>
      <w:pPr>
        <w:numPr>
          <w:ilvl w:val="0"/>
          <w:numId w:val="44"/>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Và các văn bản pháp luật có liên quan khác.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3.2. Các văn bản liên quan khác:</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a. Hồ sơ pháp lý của tài sản: </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Giấy chứng nhận quyền sử dụng đất số: R 461077; X 399916, Số vào sổ cấp GCN: 00177/QSDĐ/1201; 00273 QSDĐ/285 do UBND huyện Yên Phong cấp ngày 10/10/2002; 22/03/2003; Chủ sử dụng đất là Ông Nguyễn Văn Vương;</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ff0000"/>
          <w:sz w:val="24"/>
        </w:rPr>
        <w:t xml:space="preserve">Giấy chứng nhận quyền sử dụng đất số: X 399916, Số vào sổ cấp GCN: 00273 QSDĐ/285 do UBND huyện Yên Phong cấp ngày 22/03/2003; Chủ sử dụng đất là Hộ Ông Nguyễn Văn Vương</w:t>
      </w:r>
      <w:r>
        <w:rPr>
          <w:rFonts w:ascii="Times New Roman" w:hAnsi="Times New Roman" w:eastAsia="Times New Roman" w:cs="Times New Roman"/>
          <w:color w:val="000000"/>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b. Hồ sơ khác:</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Hợp đồng dịch vụ thẩm định giá số 275/2026/1398/VFI-HĐTĐ.44.A ngày 07/9/2026 giữa Ông Nguyễn Văn Vương với Công ty Cổ phần Thẩm định và Đầu tư Tài chính Hoa Sen;</w:t>
      </w:r>
      <w:r/>
    </w:p>
    <w:p>
      <w:pPr>
        <w:numPr>
          <w:ilvl w:val="0"/>
          <w:numId w:val="45"/>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Hồ sơ, tài liệu, chứng từ liên quan đến tài sản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380" w:lineRule="atLeast"/>
        <w:ind w:right="0" w:firstLine="0" w:left="0"/>
        <w:jc w:val="both"/>
        <w:rPr/>
      </w:pPr>
      <w:r>
        <w:rPr>
          <w:rFonts w:ascii="Times New Roman" w:hAnsi="Times New Roman" w:eastAsia="Times New Roman" w:cs="Times New Roman"/>
          <w:b/>
          <w:color w:val="000000"/>
          <w:sz w:val="24"/>
        </w:rPr>
        <w:t xml:space="preserve">III. TỔNG QUAN VỀ THỊ TRƯỜNG CỦA TÀI SẢN THẨM ĐỊNH GIÁ</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Năm 2026, thị trường bất động sản phường Võ Cường, tỉnh Bắc Ninh tiếp tục có nhiều điều kiện thuận lợi để phát triển nhờ vị trí đô thị, hệ thống hạ tầng ngày càng hoàn thiện và quá trình mở rộng không gian đô thị của tỉnh. Phường Võ Cường nằm trong khu vực</w:t>
      </w:r>
      <w:r>
        <w:rPr>
          <w:rFonts w:ascii="Times New Roman" w:hAnsi="Times New Roman" w:eastAsia="Times New Roman" w:cs="Times New Roman"/>
          <w:color w:val="000000"/>
          <w:sz w:val="24"/>
        </w:rPr>
        <w:t xml:space="preserve"> có tốc độ đô thị hóa tương đối cao, đồng thời có khả năng kết nối thuận tiện với các khu vực trung tâm của tỉnh và các địa bàn lân cận. Sự phát triển của hạ tầng giao thông, thương mại, dịch vụ và các khu đô thị mới đang tạo thêm động lực cho thị trường b</w:t>
      </w:r>
      <w:r>
        <w:rPr>
          <w:rFonts w:ascii="Times New Roman" w:hAnsi="Times New Roman" w:eastAsia="Times New Roman" w:cs="Times New Roman"/>
          <w:color w:val="000000"/>
          <w:sz w:val="24"/>
        </w:rPr>
        <w:t xml:space="preserve">ất động sản trên địa bàn.</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Trong năm 2026, khu vực Võ Cường tiếp tục được hưởng lợi từ quá trình điều chỉnh, hoàn thiện quy hoạch đô thị Bắc Ninh. Đáng chú ý, Khu đô thị mới Phúc Ninh trên địa bàn phường được điều chỉnh quy hoạch chi tiết, góp phần bổ sung quỹ đất đô thị, nhà ở và c</w:t>
      </w:r>
      <w:r>
        <w:rPr>
          <w:rFonts w:ascii="Times New Roman" w:hAnsi="Times New Roman" w:eastAsia="Times New Roman" w:cs="Times New Roman"/>
          <w:color w:val="000000"/>
          <w:sz w:val="24"/>
        </w:rPr>
        <w:t xml:space="preserve">ác công trình dịch vụ, đồng thời từng bước hoàn thiện diện mạo đô thị khu vực. Bên cạnh đó, việc phát triển các công trình thương mại, dịch vụ và hạ tầng giao thông cũng góp phần nâng cao khả năng khai thác và sử dụng bất động sản.</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Phân khúc đất ở, nhà ở riêng lẻ và nhà phố vẫn là những loại hình được quan tâm tại Võ Cường. Những bất động sản nằm tại các tuyến đường có hạ tầng hoàn chỉnh, khả năng kinh doanh tốt, gần khu dân cư và các tiện ích đô thị thường có mức độ quan tâm cao hơn</w:t>
      </w:r>
      <w:r>
        <w:rPr>
          <w:rFonts w:ascii="Times New Roman" w:hAnsi="Times New Roman" w:eastAsia="Times New Roman" w:cs="Times New Roman"/>
          <w:color w:val="000000"/>
          <w:sz w:val="24"/>
        </w:rPr>
        <w:t xml:space="preserve">. Đối với đất nền, nhà đầu tư có xu hướng ưu tiên các sản phẩm có vị trí thuận lợi, diện tích phù hợp, pháp lý đầy đủ và khả năng thanh khoản thực tế. Trong khi đó, nhà phố và bất động sản mặt đường có lợi thế về khả năng kết hợp giữa mục đích ở và kinh do</w:t>
      </w:r>
      <w:r>
        <w:rPr>
          <w:rFonts w:ascii="Times New Roman" w:hAnsi="Times New Roman" w:eastAsia="Times New Roman" w:cs="Times New Roman"/>
          <w:color w:val="000000"/>
          <w:sz w:val="24"/>
        </w:rPr>
        <w:t xml:space="preserve">anh.</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Mặt bằng giá bất động sản trên địa bàn có sự phân hóa tương đối rõ rệt tùy thuộc vào vị trí, mặt tiền, chiều rộng đường, cơ sở hạ tầng, diện tích, hình dạng thửa đất và tình trạng pháp lý. Các khu vực nằm gần những tuyến giao thông lớn, khu đô thị mới và t</w:t>
      </w:r>
      <w:r>
        <w:rPr>
          <w:rFonts w:ascii="Times New Roman" w:hAnsi="Times New Roman" w:eastAsia="Times New Roman" w:cs="Times New Roman"/>
          <w:color w:val="000000"/>
          <w:sz w:val="24"/>
        </w:rPr>
        <w:t xml:space="preserve">rung tâm thương mại thường có giá cao hơn so với các khu vực nằm sâu trong khu dân cư. Thị trường cũng chịu ảnh hưởng bởi khả năng tiếp cận tín dụng, sức mua thực tế và tâm lý của nhà đầu tư.</w:t>
      </w:r>
      <w:r/>
    </w:p>
    <w:p>
      <w:pPr>
        <w:pBdr>
          <w:top w:val="none" w:color="000000" w:sz="4" w:space="0"/>
          <w:left w:val="none" w:color="000000" w:sz="4" w:space="0"/>
          <w:bottom w:val="none" w:color="000000" w:sz="4" w:space="0"/>
          <w:right w:val="none" w:color="000000" w:sz="4" w:space="0"/>
        </w:pBdr>
        <w:spacing/>
        <w:ind w:right="0" w:firstLine="720" w:left="0"/>
        <w:jc w:val="both"/>
        <w:rPr/>
      </w:pPr>
      <w:r>
        <w:rPr>
          <w:rFonts w:ascii="Times New Roman" w:hAnsi="Times New Roman" w:eastAsia="Times New Roman" w:cs="Times New Roman"/>
          <w:color w:val="000000"/>
          <w:sz w:val="24"/>
        </w:rPr>
        <w:t xml:space="preserve">Nhìn chung, năm 2026 thị trường bất động sản phường Võ Cường được đánh giá có triển vọng tương đối tích cực trong trung và dài hạn. Các yếu tố hỗ trợ chủ yếu gồm quá trình đô thị hóa, đầu tư hạ tầng, phát triển khu đô thị mới và sự gia tăng nhu cầu về nhà </w:t>
      </w:r>
      <w:r>
        <w:rPr>
          <w:rFonts w:ascii="Times New Roman" w:hAnsi="Times New Roman" w:eastAsia="Times New Roman" w:cs="Times New Roman"/>
          <w:color w:val="000000"/>
          <w:sz w:val="24"/>
        </w:rPr>
        <w:t xml:space="preserve">ở, thương mại, dịch vụ. Tuy nhiên, thị trường vẫn cần thận trọng trước những biến động về giá và thông tin quy hoạch. Người mua và nhà đầu tư cần kiểm tra kỹ hồ sơ pháp lý, quy hoạch, hiện trạng sử dụng đất và khả năng kết nối hạ tầng trước khi giao dịch. </w:t>
      </w:r>
      <w:r>
        <w:rPr>
          <w:rFonts w:ascii="Times New Roman" w:hAnsi="Times New Roman" w:eastAsia="Times New Roman" w:cs="Times New Roman"/>
          <w:color w:val="000000"/>
          <w:sz w:val="24"/>
        </w:rPr>
        <w:t xml:space="preserve">Về tổng thể, Võ Cường tiếp tục là một trong những khu vực có tiềm năng phát triển bất động sản đáng chú ý của khu vực đô thị Bắc Ninh trong năm 2026.</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rPr/>
      </w:pPr>
      <w:r>
        <w:rPr>
          <w:rFonts w:ascii="Times New Roman" w:hAnsi="Times New Roman" w:eastAsia="Times New Roman" w:cs="Times New Roman"/>
          <w:color w:val="000000"/>
          <w:sz w:val="24"/>
          <w:highlight w:val="white"/>
        </w:rPr>
        <w:t xml:space="preserve">(</w:t>
      </w:r>
      <w:r>
        <w:rPr>
          <w:rFonts w:ascii="Times New Roman" w:hAnsi="Times New Roman" w:eastAsia="Times New Roman" w:cs="Times New Roman"/>
          <w:i/>
          <w:color w:val="000000"/>
          <w:sz w:val="24"/>
        </w:rPr>
        <w:t xml:space="preserve">Nguồn: https://vocuong.bacninh.gov.vn/)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IV. THÔNG TIN VỀ TÀI SẢN THẨM ĐỊNH GIÁ</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b/>
          <w:color w:val="000000"/>
          <w:sz w:val="24"/>
        </w:rPr>
        <w:t xml:space="preserve">Tài sản 01:</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59"/>
        <w:gridCol w:w="2552"/>
        <w:gridCol w:w="2126"/>
        <w:gridCol w:w="2124"/>
        <w:gridCol w:w="2129"/>
      </w:tblGrid>
      <w:tr>
        <w:trPr>
          <w:trHeight w:val="1408"/>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firstLine="0" w:left="147"/>
              <w:jc w:val="both"/>
              <w:rPr/>
            </w:pPr>
            <w:r>
              <w:rPr>
                <w:rFonts w:ascii="Times New Roman" w:hAnsi="Times New Roman" w:eastAsia="Times New Roman" w:cs="Times New Roman"/>
                <w:b/>
                <w:color w:val="000000"/>
                <w:sz w:val="24"/>
              </w:rPr>
              <w:t xml:space="preserve">Quyền sử dụng đất tại thửa đất số: 512, tờ bản đồ số: ./., có địa chỉ: Thôn Dương Ổ, xã Phong Khê, huyện Yên Phong, tỉnh Bắc </w:t>
            </w:r>
            <w:r>
              <w:rPr>
                <w:rFonts w:ascii="Times New Roman" w:hAnsi="Times New Roman" w:eastAsia="Times New Roman" w:cs="Times New Roman"/>
                <w:b/>
                <w:i/>
                <w:color w:val="000000"/>
                <w:sz w:val="24"/>
              </w:rPr>
              <w:t xml:space="preserve">Ninh (nay là phường Võ Cường, thành phố Bắc Ninh)</w:t>
            </w:r>
            <w:r>
              <w:rPr>
                <w:rFonts w:ascii="Times New Roman" w:hAnsi="Times New Roman" w:eastAsia="Times New Roman" w:cs="Times New Roman"/>
                <w:b/>
                <w:color w:val="000000"/>
                <w:sz w:val="24"/>
              </w:rPr>
              <w:t xml:space="preserve"> theo Giấy chứng nhận quyền sử dụng đất số: R 461077, Số vào sổ cấp GCN: 00177/QSDĐ/1201 do UBND huyện Yên Phong cấp ngày 10/10/2002; chủ sử dụng đất là Ông Nguyễn Văn Vương.</w:t>
            </w:r>
            <w:r/>
          </w:p>
        </w:tc>
      </w:tr>
      <w:tr>
        <w:trPr>
          <w:trHeight w:val="315"/>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jc w:val="center"/>
              <w:rPr/>
            </w:pPr>
            <w:r>
              <w:rPr>
                <w:rFonts w:ascii="Times New Roman" w:hAnsi="Times New Roman" w:eastAsia="Times New Roman" w:cs="Times New Roman"/>
                <w:color w:val="000000"/>
                <w:sz w:val="24"/>
              </w:rPr>
              <w:t xml:space="preserve">512</w:t>
            </w:r>
            <w:r/>
          </w:p>
        </w:tc>
        <w:tc>
          <w:tcPr>
            <w:shd w:val="clear" w:color="ffffff" w:fill="ffffff"/>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8" w:space="0"/>
              <w:right w:val="single" w:color="000000" w:sz="8" w:space="0"/>
            </w:tcBorders>
            <w:tcMar>
              <w:left w:w="0" w:type="dxa"/>
              <w:top w:w="0" w:type="dxa"/>
              <w:right w:w="0" w:type="dxa"/>
              <w:bottom w:w="0" w:type="dxa"/>
            </w:tcMar>
            <w:tcW w:w="21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jc w:val="center"/>
              <w:rPr/>
            </w:pPr>
            <w:r>
              <w:rPr>
                <w:rFonts w:ascii="Times New Roman" w:hAnsi="Times New Roman" w:eastAsia="Times New Roman" w:cs="Times New Roman"/>
                <w:color w:val="000000"/>
                <w:sz w:val="24"/>
              </w:rPr>
              <w:t xml:space="preserve">./.</w:t>
            </w:r>
            <w:r/>
          </w:p>
        </w:tc>
      </w:tr>
      <w:tr>
        <w:trPr>
          <w:trHeight w:val="615"/>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0" w:type="dxa"/>
              <w:top w:w="0" w:type="dxa"/>
              <w:right w:w="0" w:type="dxa"/>
              <w:bottom w:w="0" w:type="dxa"/>
            </w:tcMar>
            <w:tcW w:w="63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both"/>
              <w:rPr/>
            </w:pPr>
            <w:r>
              <w:rPr>
                <w:rFonts w:ascii="Times New Roman" w:hAnsi="Times New Roman" w:eastAsia="Times New Roman" w:cs="Times New Roman"/>
                <w:color w:val="000000"/>
                <w:sz w:val="24"/>
              </w:rPr>
              <w:t xml:space="preserve">Thôn Dương Ổ, xã Phong Khê, huyện Yên Phong, tỉnh Bắc Ninh  </w:t>
            </w:r>
            <w:r>
              <w:rPr>
                <w:rFonts w:ascii="Times New Roman" w:hAnsi="Times New Roman" w:eastAsia="Times New Roman" w:cs="Times New Roman"/>
                <w:i/>
                <w:color w:val="000000"/>
                <w:sz w:val="24"/>
              </w:rPr>
              <w:t xml:space="preserve">(nay là Phường Võ Cường, thành phố Bắc Ninh)</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jc w:val="center"/>
              <w:rPr/>
            </w:pPr>
            <w:r>
              <w:rPr>
                <w:rFonts w:ascii="Times New Roman" w:hAnsi="Times New Roman" w:eastAsia="Times New Roman" w:cs="Times New Roman"/>
                <w:color w:val="000000"/>
                <w:sz w:val="24"/>
              </w:rPr>
              <w:t xml:space="preserve">210,0</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0" w:type="dxa"/>
              <w:top w:w="0" w:type="dxa"/>
              <w:right w:w="0" w:type="dxa"/>
              <w:bottom w:w="0" w:type="dxa"/>
            </w:tcMar>
            <w:tcW w:w="21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center"/>
              <w:rPr/>
            </w:pPr>
            <w:r>
              <w:rPr>
                <w:rFonts w:ascii="Times New Roman" w:hAnsi="Times New Roman" w:eastAsia="Times New Roman" w:cs="Times New Roman"/>
                <w:color w:val="000000"/>
                <w:sz w:val="24"/>
              </w:rPr>
              <w:t xml:space="preserve">./.</w:t>
            </w:r>
            <w:r/>
          </w:p>
        </w:tc>
      </w:tr>
      <w:tr>
        <w:trPr>
          <w:trHeight w:val="622"/>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center"/>
              <w:rPr/>
            </w:pPr>
            <w:r>
              <w:rPr>
                <w:rFonts w:ascii="Times New Roman" w:hAnsi="Times New Roman" w:eastAsia="Times New Roman" w:cs="Times New Roman"/>
                <w:color w:val="000000"/>
                <w:sz w:val="24"/>
              </w:rPr>
              <w:t xml:space="preserve">Đất ở tại nông thôn</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0" w:type="dxa"/>
              <w:top w:w="0" w:type="dxa"/>
              <w:right w:w="0" w:type="dxa"/>
              <w:bottom w:w="0" w:type="dxa"/>
            </w:tcMar>
            <w:tcW w:w="21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center"/>
              <w:rPr/>
            </w:pPr>
            <w:r>
              <w:rPr>
                <w:rFonts w:ascii="Times New Roman" w:hAnsi="Times New Roman" w:eastAsia="Times New Roman" w:cs="Times New Roman"/>
                <w:color w:val="000000"/>
                <w:sz w:val="24"/>
              </w:rPr>
              <w:t xml:space="preserve">Lâu dài</w:t>
            </w:r>
            <w:r/>
          </w:p>
        </w:tc>
      </w:tr>
      <w:tr>
        <w:trPr>
          <w:trHeight w:val="555"/>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1.2</w:t>
            </w:r>
            <w:r/>
          </w:p>
        </w:tc>
        <w:tc>
          <w:tcPr>
            <w:gridSpan w:val="4"/>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b/>
                <w:color w:val="000000"/>
                <w:sz w:val="24"/>
              </w:rPr>
              <w:t xml:space="preserve">Ghi chú: Không</w:t>
            </w:r>
            <w:r/>
          </w:p>
        </w:tc>
      </w:tr>
      <w:tr>
        <w:trPr>
          <w:trHeight w:val="360"/>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1.3.</w:t>
            </w:r>
            <w:r/>
          </w:p>
        </w:tc>
        <w:tc>
          <w:tcPr>
            <w:gridSpan w:val="4"/>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b/>
                <w:color w:val="000000"/>
                <w:sz w:val="24"/>
              </w:rPr>
              <w:t xml:space="preserve">Thông tin quy hoạch:</w:t>
            </w:r>
            <w:r/>
          </w:p>
        </w:tc>
      </w:tr>
      <w:tr>
        <w:trPr>
          <w:trHeight w:val="360"/>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4"/>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both"/>
              <w:rPr/>
            </w:pPr>
            <w:r>
              <w:rPr>
                <w:rFonts w:ascii="Times New Roman" w:hAnsi="Times New Roman" w:eastAsia="Times New Roman" w:cs="Times New Roman"/>
                <w:color w:val="ee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ee0000"/>
                <w:sz w:val="24"/>
              </w:rPr>
              <w:t xml:space="preserve">định vị trí tài sản thuộc quy hoạch đất ở.</w:t>
            </w:r>
            <w:r/>
          </w:p>
        </w:tc>
      </w:tr>
      <w:tr>
        <w:trPr>
          <w:trHeight w:val="360"/>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4"/>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center"/>
              <w:rPr/>
            </w:pPr>
            <w:r>
              <mc:AlternateContent>
                <mc:Choice Requires="wpg">
                  <w:drawing>
                    <wp:inline xmlns:wp="http://schemas.openxmlformats.org/drawingml/2006/wordprocessingDrawing" distT="0" distB="0" distL="0" distR="0">
                      <wp:extent cx="5448300" cy="314325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749595" name=""/>
                              <pic:cNvPicPr>
                                <a:picLocks noChangeAspect="1"/>
                              </pic:cNvPicPr>
                              <pic:nvPr/>
                            </pic:nvPicPr>
                            <pic:blipFill rotWithShape="1">
                              <a:blip r:embed="rId17"/>
                              <a:stretch/>
                            </pic:blipFill>
                            <pic:spPr bwMode="auto">
                              <a:xfrm>
                                <a:off x="0" y="0"/>
                                <a:ext cx="5448299" cy="31432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9.00pt;height:247.50pt;mso-wrap-distance-left:0.00pt;mso-wrap-distance-top:0.00pt;mso-wrap-distance-right:0.00pt;mso-wrap-distance-bottom:0.00pt;z-index:1;" stroked="false">
                      <v:imagedata r:id="rId17" o:title=""/>
                      <o:lock v:ext="edit" rotation="t"/>
                    </v:shape>
                  </w:pict>
                </mc:Fallback>
              </mc:AlternateContent>
            </w:r>
            <w:r/>
          </w:p>
        </w:tc>
      </w:tr>
      <w:tr>
        <w:trPr>
          <w:trHeight w:val="457"/>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b/>
                <w:color w:val="000000"/>
                <w:sz w:val="24"/>
              </w:rPr>
              <w:t xml:space="preserve">Vị trí; Giao thông:</w:t>
            </w:r>
            <w:r/>
          </w:p>
        </w:tc>
      </w:tr>
      <w:tr>
        <w:trPr>
          <w:trHeight w:val="490"/>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0" w:type="dxa"/>
              <w:top w:w="0" w:type="dxa"/>
              <w:right w:w="0" w:type="dxa"/>
              <w:bottom w:w="0" w:type="dxa"/>
            </w:tcMar>
            <w:tcW w:w="63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Thôn Dương Ổ, Phường Võ Cường, tỉnh Bắc Ninh.</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center"/>
              <w:rPr/>
            </w:pPr>
            <w:r>
              <w:rPr>
                <w:rFonts w:ascii="Times New Roman" w:hAnsi="Times New Roman" w:eastAsia="Times New Roman" w:cs="Times New Roman"/>
                <w:color w:val="000000"/>
                <w:sz w:val="24"/>
              </w:rPr>
              <w:t xml:space="preserve">Ngõ đi chung</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0" w:type="dxa"/>
              <w:top w:w="0" w:type="dxa"/>
              <w:right w:w="0" w:type="dxa"/>
              <w:bottom w:w="0" w:type="dxa"/>
            </w:tcMar>
            <w:tcW w:w="21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center"/>
              <w:rPr/>
            </w:pPr>
            <w:r>
              <w:rPr>
                <w:rFonts w:ascii="Times New Roman" w:hAnsi="Times New Roman" w:eastAsia="Times New Roman" w:cs="Times New Roman"/>
                <w:color w:val="000000"/>
                <w:sz w:val="24"/>
              </w:rPr>
              <w:t xml:space="preserve">01 mặt tiền</w:t>
            </w:r>
            <w:r/>
          </w:p>
        </w:tc>
      </w:tr>
      <w:tr>
        <w:trPr>
          <w:trHeight w:val="1238"/>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center"/>
              <w:rPr/>
            </w:pPr>
            <w:r>
              <w:rPr>
                <w:rFonts w:ascii="Times New Roman" w:hAnsi="Times New Roman" w:eastAsia="Times New Roman" w:cs="Times New Roman"/>
                <w:color w:val="000000"/>
                <w:sz w:val="24"/>
              </w:rPr>
              <w:t xml:space="preserve">1,8</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0" w:type="dxa"/>
              <w:top w:w="0" w:type="dxa"/>
              <w:right w:w="0" w:type="dxa"/>
              <w:bottom w:w="0" w:type="dxa"/>
            </w:tcMar>
            <w:tcW w:w="21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center"/>
              <w:rPr/>
            </w:pPr>
            <w:r>
              <w:rPr>
                <w:rFonts w:ascii="Times New Roman" w:hAnsi="Times New Roman" w:eastAsia="Times New Roman" w:cs="Times New Roman"/>
                <w:color w:val="000000"/>
                <w:sz w:val="24"/>
              </w:rPr>
              <w:t xml:space="preserve">1,8</w:t>
            </w:r>
            <w:r/>
          </w:p>
        </w:tc>
      </w:tr>
      <w:tr>
        <w:trPr>
          <w:trHeight w:val="547"/>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0" w:type="dxa"/>
              <w:top w:w="0" w:type="dxa"/>
              <w:right w:w="0" w:type="dxa"/>
              <w:bottom w:w="0" w:type="dxa"/>
            </w:tcMar>
            <w:tcW w:w="637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Cách đường Nguyễn Văn Cừ khoảng 800m</w:t>
            </w:r>
            <w:r/>
          </w:p>
        </w:tc>
      </w:tr>
      <w:tr>
        <w:trPr>
          <w:trHeight w:val="657"/>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637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 Hướng Đông: tiếp giáp đường giao thông 1,8m;</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0"/>
              <w:rPr>
                <w:rFonts w:ascii="Times New Roman" w:hAnsi="Times New Roman" w:eastAsia="Times New Roman" w:cs="Times New Roman"/>
                <w:sz w:val="24"/>
                <w:szCs w:val="24"/>
              </w:rPr>
            </w:pPr>
            <w:r>
              <w:rPr>
                <w:rFonts w:ascii="Times New Roman" w:hAnsi="Times New Roman" w:eastAsia="Times New Roman" w:cs="Times New Roman"/>
                <w:color w:val="000000"/>
                <w:sz w:val="24"/>
              </w:rPr>
              <w:t xml:space="preserve">+ Các hướng còn lại: tiếp giáp thửa đất khác.</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rPr/>
            </w:pPr>
            <w:r>
              <w:rPr>
                <w:rFonts w:ascii="Times New Roman" w:hAnsi="Times New Roman" w:eastAsia="Times New Roman" w:cs="Times New Roman"/>
                <w:color w:val="000000"/>
                <w:sz w:val="24"/>
              </w:rPr>
              <w:t xml:space="preserve">Vị trí trên bản đồ vệ tinh: (21.163222222222, 106.03169444444)</w:t>
            </w:r>
            <w:r/>
          </w:p>
        </w:tc>
      </w:tr>
      <w:tr>
        <w:trPr>
          <w:trHeight w:val="732"/>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rPr/>
            </w:pPr>
            <w:r>
              <mc:AlternateContent>
                <mc:Choice Requires="wpg">
                  <w:drawing>
                    <wp:inline xmlns:wp="http://schemas.openxmlformats.org/drawingml/2006/wordprocessingDrawing" distT="0" distB="0" distL="0" distR="0">
                      <wp:extent cx="5553075" cy="2590800"/>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18449" name=""/>
                              <pic:cNvPicPr>
                                <a:picLocks noChangeAspect="1"/>
                              </pic:cNvPicPr>
                              <pic:nvPr/>
                            </pic:nvPicPr>
                            <pic:blipFill rotWithShape="1">
                              <a:blip r:embed="rId18"/>
                              <a:stretch/>
                            </pic:blipFill>
                            <pic:spPr bwMode="auto">
                              <a:xfrm>
                                <a:off x="0" y="0"/>
                                <a:ext cx="5553074" cy="25907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37.25pt;height:204.00pt;mso-wrap-distance-left:0.00pt;mso-wrap-distance-top:0.00pt;mso-wrap-distance-right:0.00pt;mso-wrap-distance-bottom:0.00pt;z-index:1;" stroked="false">
                      <v:imagedata r:id="rId18" o:title=""/>
                      <o:lock v:ext="edit" rotation="t"/>
                    </v:shape>
                  </w:pict>
                </mc:Fallback>
              </mc:AlternateContent>
            </w:r>
            <w:r/>
          </w:p>
        </w:tc>
      </w:tr>
      <w:tr>
        <w:trPr>
          <w:trHeight w:val="450"/>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rPr/>
            </w:pPr>
            <w:r>
              <w:rPr>
                <w:rFonts w:ascii="Times New Roman" w:hAnsi="Times New Roman" w:eastAsia="Times New Roman" w:cs="Times New Roman"/>
                <w:b/>
                <w:color w:val="000000"/>
                <w:sz w:val="24"/>
              </w:rPr>
              <w:t xml:space="preserve">Diện tích; Kích thước; Hình dáng</w:t>
            </w:r>
            <w:r/>
          </w:p>
        </w:tc>
      </w:tr>
      <w:tr>
        <w:trPr>
          <w:trHeight w:val="569"/>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jc w:val="center"/>
              <w:rPr/>
            </w:pPr>
            <w:r>
              <w:rPr>
                <w:rFonts w:ascii="Times New Roman" w:hAnsi="Times New Roman" w:eastAsia="Times New Roman" w:cs="Times New Roman"/>
                <w:color w:val="000000"/>
                <w:sz w:val="24"/>
              </w:rPr>
              <w:t xml:space="preserve">210,0</w:t>
            </w:r>
            <w:r/>
          </w:p>
        </w:tc>
        <w:tc>
          <w:tcPr>
            <w:shd w:val="clear" w:color="ffffff" w:fill="ffffff"/>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1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jc w:val="center"/>
              <w:rPr/>
            </w:pPr>
            <w:r>
              <w:rPr>
                <w:rFonts w:ascii="Times New Roman" w:hAnsi="Times New Roman" w:eastAsia="Times New Roman" w:cs="Times New Roman"/>
                <w:color w:val="000000"/>
                <w:sz w:val="24"/>
              </w:rPr>
              <w:t xml:space="preserve">0</w:t>
            </w:r>
            <w:r/>
          </w:p>
        </w:tc>
      </w:tr>
      <w:tr>
        <w:trPr>
          <w:trHeight w:val="550"/>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jc w:val="center"/>
              <w:rPr/>
            </w:pPr>
            <w:r>
              <w:rPr>
                <w:rFonts w:ascii="Times New Roman" w:hAnsi="Times New Roman" w:eastAsia="Times New Roman" w:cs="Times New Roman"/>
                <w:color w:val="000000"/>
                <w:sz w:val="24"/>
              </w:rPr>
              <w:t xml:space="preserve">13,0</w:t>
            </w:r>
            <w:r/>
          </w:p>
        </w:tc>
        <w:tc>
          <w:tcPr>
            <w:shd w:val="clear" w:color="ffffff" w:fill="ffffff"/>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8" w:space="0"/>
              <w:right w:val="single" w:color="000000" w:sz="8" w:space="0"/>
            </w:tcBorders>
            <w:tcMar>
              <w:left w:w="0" w:type="dxa"/>
              <w:top w:w="0" w:type="dxa"/>
              <w:right w:w="0" w:type="dxa"/>
              <w:bottom w:w="0" w:type="dxa"/>
            </w:tcMar>
            <w:tcW w:w="21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jc w:val="center"/>
              <w:rPr/>
            </w:pPr>
            <w:r>
              <w:rPr>
                <w:rFonts w:ascii="Times New Roman" w:hAnsi="Times New Roman" w:eastAsia="Times New Roman" w:cs="Times New Roman"/>
                <w:color w:val="000000"/>
                <w:sz w:val="24"/>
              </w:rPr>
              <w:t xml:space="preserve">16,15</w:t>
            </w:r>
            <w:r/>
          </w:p>
        </w:tc>
      </w:tr>
      <w:tr>
        <w:trPr>
          <w:trHeight w:val="558"/>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jc w:val="center"/>
              <w:rPr/>
            </w:pPr>
            <w:r>
              <w:rPr>
                <w:rFonts w:ascii="Times New Roman" w:hAnsi="Times New Roman" w:eastAsia="Times New Roman" w:cs="Times New Roman"/>
                <w:color w:val="000000"/>
                <w:sz w:val="24"/>
              </w:rPr>
              <w:t xml:space="preserve">Chữ nhật</w:t>
            </w:r>
            <w:r/>
          </w:p>
        </w:tc>
        <w:tc>
          <w:tcPr>
            <w:shd w:val="clear" w:color="ffffff" w:fill="ffffff"/>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8" w:space="0"/>
              <w:right w:val="single" w:color="000000" w:sz="8" w:space="0"/>
            </w:tcBorders>
            <w:tcMar>
              <w:left w:w="0" w:type="dxa"/>
              <w:top w:w="0" w:type="dxa"/>
              <w:right w:w="0" w:type="dxa"/>
              <w:bottom w:w="0" w:type="dxa"/>
            </w:tcMar>
            <w:tcW w:w="21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jc w:val="center"/>
              <w:rPr/>
            </w:pPr>
            <w:r>
              <w:rPr>
                <w:rFonts w:ascii="Times New Roman" w:hAnsi="Times New Roman" w:eastAsia="Times New Roman" w:cs="Times New Roman"/>
                <w:color w:val="000000"/>
                <w:sz w:val="24"/>
              </w:rPr>
              <w:t xml:space="preserve">Đông</w:t>
            </w:r>
            <w:r/>
          </w:p>
        </w:tc>
      </w:tr>
      <w:tr>
        <w:trPr>
          <w:trHeight w:val="423"/>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01"/>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jc w:val="center"/>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0" w:type="dxa"/>
              <w:top w:w="0" w:type="dxa"/>
              <w:right w:w="0" w:type="dxa"/>
              <w:bottom w:w="0" w:type="dxa"/>
            </w:tcMar>
            <w:tcW w:w="21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39" w:firstLine="0" w:left="147"/>
              <w:jc w:val="center"/>
              <w:rPr/>
            </w:pPr>
            <w:r>
              <w:rPr>
                <w:rFonts w:ascii="Times New Roman" w:hAnsi="Times New Roman" w:eastAsia="Times New Roman" w:cs="Times New Roman"/>
                <w:color w:val="000000"/>
                <w:sz w:val="24"/>
              </w:rPr>
              <w:t xml:space="preserve">Ổn định</w:t>
            </w:r>
            <w:r/>
          </w:p>
        </w:tc>
      </w:tr>
      <w:tr>
        <w:trPr>
          <w:trHeight w:val="607"/>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center"/>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0" w:type="dxa"/>
              <w:top w:w="0" w:type="dxa"/>
              <w:right w:w="0" w:type="dxa"/>
              <w:bottom w:w="0" w:type="dxa"/>
            </w:tcMar>
            <w:tcW w:w="21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center"/>
              <w:rPr/>
            </w:pPr>
            <w:r>
              <w:rPr>
                <w:rFonts w:ascii="Times New Roman" w:hAnsi="Times New Roman" w:eastAsia="Times New Roman" w:cs="Times New Roman"/>
                <w:color w:val="000000"/>
                <w:sz w:val="24"/>
              </w:rPr>
              <w:t xml:space="preserve">Tốt</w:t>
            </w:r>
            <w:r/>
          </w:p>
        </w:tc>
      </w:tr>
      <w:tr>
        <w:trPr>
          <w:trHeight w:val="1268"/>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55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0" w:type="dxa"/>
              <w:top w:w="0" w:type="dxa"/>
              <w:right w:w="0"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8" w:space="0"/>
              <w:right w:val="single" w:color="000000" w:sz="8" w:space="0"/>
            </w:tcBorders>
            <w:tcMar>
              <w:left w:w="0" w:type="dxa"/>
              <w:top w:w="0" w:type="dxa"/>
              <w:right w:w="0" w:type="dxa"/>
              <w:bottom w:w="0" w:type="dxa"/>
            </w:tcMar>
            <w:tcW w:w="212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0" w:type="dxa"/>
              <w:top w:w="0" w:type="dxa"/>
              <w:right w:w="0" w:type="dxa"/>
              <w:bottom w:w="0" w:type="dxa"/>
            </w:tcMar>
            <w:tcW w:w="21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jc w:val="center"/>
              <w:rPr/>
            </w:pPr>
            <w:r>
              <w:rPr>
                <w:rFonts w:ascii="Times New Roman" w:hAnsi="Times New Roman" w:eastAsia="Times New Roman" w:cs="Times New Roman"/>
                <w:color w:val="000000"/>
                <w:sz w:val="24"/>
              </w:rPr>
              <w:t xml:space="preserve">Tốt</w:t>
            </w:r>
            <w:r/>
          </w:p>
        </w:tc>
      </w:tr>
      <w:tr>
        <w:trPr>
          <w:trHeight w:val="315"/>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39" w:firstLine="0" w:left="147"/>
              <w:rPr/>
            </w:pPr>
            <w:r>
              <w:rPr>
                <w:rFonts w:ascii="Times New Roman" w:hAnsi="Times New Roman" w:eastAsia="Times New Roman" w:cs="Times New Roman"/>
                <w:b/>
                <w:color w:val="000000"/>
                <w:sz w:val="24"/>
              </w:rPr>
              <w:t xml:space="preserve"> Tài sản gắn liền với đất: </w:t>
            </w:r>
            <w:r/>
          </w:p>
        </w:tc>
      </w:tr>
      <w:tr>
        <w:trPr>
          <w:trHeight w:val="840"/>
        </w:trPr>
        <w:tc>
          <w:tcPr>
            <w:tcBorders>
              <w:left w:val="single" w:color="000000" w:sz="8" w:space="0"/>
              <w:bottom w:val="single" w:color="000000" w:sz="8" w:space="0"/>
              <w:right w:val="single" w:color="000000" w:sz="8" w:space="0"/>
            </w:tcBorders>
            <w:tcMar>
              <w:left w:w="0" w:type="dxa"/>
              <w:top w:w="0" w:type="dxa"/>
              <w:right w:w="0" w:type="dxa"/>
              <w:bottom w:w="0" w:type="dxa"/>
            </w:tcMar>
            <w:tcW w:w="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0" w:type="dxa"/>
              <w:top w:w="0" w:type="dxa"/>
              <w:right w:w="0" w:type="dxa"/>
              <w:bottom w:w="0" w:type="dxa"/>
            </w:tcMar>
            <w:tcW w:w="8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firstLine="0" w:left="147"/>
              <w:jc w:val="both"/>
              <w:rPr/>
            </w:pPr>
            <w:r>
              <w:rPr>
                <w:rFonts w:ascii="Times New Roman" w:hAnsi="Times New Roman" w:eastAsia="Times New Roman" w:cs="Times New Roman"/>
                <w:color w:val="000000"/>
                <w:sz w:val="24"/>
                <w:u w:val="none"/>
              </w:rPr>
              <w:t xml:space="preserve">Tại thời điểm khảo sát, dưới sự hướng dẫn của chủ tài sản, trên đất có CTXD 01 </w:t>
            </w:r>
            <w:r>
              <w:rPr>
                <w:rFonts w:ascii="Times New Roman" w:hAnsi="Times New Roman" w:eastAsia="Times New Roman" w:cs="Times New Roman"/>
                <w:color w:val="ff0000"/>
                <w:sz w:val="24"/>
                <w:u w:val="none"/>
              </w:rPr>
              <w:t xml:space="preserve">Nhà 02 tầng; </w:t>
            </w:r>
            <w:r>
              <w:rPr>
                <w:rFonts w:ascii="Times New Roman" w:hAnsi="Times New Roman" w:eastAsia="Times New Roman" w:cs="Times New Roman"/>
                <w:color w:val="000000"/>
                <w:sz w:val="24"/>
                <w:u w:val="none"/>
              </w:rPr>
              <w:t xml:space="preserve">và 02 nhà cấp 4. Công trình chưa được công nhận trên GCN QSDĐ số: R 461077</w:t>
            </w:r>
            <w:r>
              <w:rPr>
                <w:rFonts w:ascii="Times New Roman" w:hAnsi="Times New Roman" w:eastAsia="Times New Roman" w:cs="Times New Roman"/>
                <w:color w:val="000000"/>
                <w:sz w:val="24"/>
              </w:rPr>
              <w:t xml:space="preserve">.</w:t>
            </w:r>
            <w:r/>
          </w:p>
        </w:tc>
      </w:tr>
    </w:tbl>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b/>
          <w:color w:val="000000"/>
          <w:sz w:val="24"/>
        </w:rPr>
        <w:t xml:space="preserve">Tài sản 02:</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67"/>
        <w:gridCol w:w="2625"/>
        <w:gridCol w:w="2187"/>
        <w:gridCol w:w="2146"/>
        <w:gridCol w:w="2229"/>
      </w:tblGrid>
      <w:tr>
        <w:trPr>
          <w:trHeight w:val="1408"/>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both"/>
              <w:rPr/>
            </w:pPr>
            <w:r>
              <w:rPr>
                <w:rFonts w:ascii="Times New Roman" w:hAnsi="Times New Roman" w:eastAsia="Times New Roman" w:cs="Times New Roman"/>
                <w:b/>
                <w:color w:val="000000"/>
                <w:sz w:val="24"/>
              </w:rPr>
              <w:t xml:space="preserve">Quyền sử dụng đất và tài sản gắn liền với đất tại thửa đất số: 462, tờ bản đồ số: 24, có địa chỉ: Thôn Dương Ổ, xã Phong Khê, huyện Yên Phong, tỉnh Bắc Ninh (</w:t>
            </w:r>
            <w:r>
              <w:rPr>
                <w:rFonts w:ascii="Times New Roman" w:hAnsi="Times New Roman" w:eastAsia="Times New Roman" w:cs="Times New Roman"/>
                <w:b/>
                <w:i/>
                <w:color w:val="000000"/>
                <w:sz w:val="24"/>
              </w:rPr>
              <w:t xml:space="preserve">nay là Phường Võ Cường, thành phố Bắc Ninh)</w:t>
            </w:r>
            <w:r>
              <w:rPr>
                <w:rFonts w:ascii="Times New Roman" w:hAnsi="Times New Roman" w:eastAsia="Times New Roman" w:cs="Times New Roman"/>
                <w:b/>
                <w:color w:val="000000"/>
                <w:sz w:val="24"/>
              </w:rPr>
              <w:t xml:space="preserve"> theo Giấy chứng nhận quyền sử dụng đất số: X 399916, Số vào sổ cấp GCN: 00273 QSDĐ/285 do UBND huyện Yên Phong cấp ngày 22/03/2003; Chủ sử dụng đất </w:t>
            </w:r>
            <w:r>
              <w:rPr>
                <w:rFonts w:ascii="Times New Roman" w:hAnsi="Times New Roman" w:eastAsia="Times New Roman" w:cs="Times New Roman"/>
                <w:b/>
                <w:color w:val="ff0000"/>
                <w:sz w:val="24"/>
              </w:rPr>
              <w:t xml:space="preserve">là Hộ Ông </w:t>
            </w:r>
            <w:r>
              <w:rPr>
                <w:rFonts w:ascii="Times New Roman" w:hAnsi="Times New Roman" w:eastAsia="Times New Roman" w:cs="Times New Roman"/>
                <w:b/>
                <w:color w:val="000000"/>
                <w:sz w:val="24"/>
              </w:rPr>
              <w:t xml:space="preserve">Nguyễn Văn Vương.</w:t>
            </w:r>
            <w:r/>
          </w:p>
        </w:tc>
      </w:tr>
      <w:tr>
        <w:trPr>
          <w:trHeight w:val="315"/>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b/>
                <w:color w:val="000000"/>
                <w:sz w:val="24"/>
              </w:rPr>
              <w:t xml:space="preserve">Thửa đất:</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Thửa đất số:</w:t>
            </w:r>
            <w:r/>
          </w:p>
        </w:tc>
        <w:tc>
          <w:tcPr>
            <w:shd w:val="clear" w:color="ffffff" w:fill="ffffff"/>
            <w:tcBorders>
              <w:bottom w:val="single" w:color="000000" w:sz="8" w:space="0"/>
              <w:right w:val="single" w:color="000000" w:sz="8" w:space="0"/>
            </w:tcBorders>
            <w:tcMar>
              <w:left w:w="0" w:type="dxa"/>
              <w:top w:w="0" w:type="dxa"/>
              <w:right w:w="0" w:type="dxa"/>
              <w:bottom w:w="0" w:type="dxa"/>
            </w:tcMar>
            <w:tcW w:w="21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jc w:val="center"/>
              <w:rPr/>
            </w:pPr>
            <w:r>
              <w:rPr>
                <w:rFonts w:ascii="Times New Roman" w:hAnsi="Times New Roman" w:eastAsia="Times New Roman" w:cs="Times New Roman"/>
                <w:color w:val="000000"/>
                <w:sz w:val="24"/>
              </w:rPr>
              <w:t xml:space="preserve">462</w:t>
            </w:r>
            <w:r/>
          </w:p>
        </w:tc>
        <w:tc>
          <w:tcPr>
            <w:shd w:val="clear" w:color="ffffff" w:fill="ffffff"/>
            <w:tcBorders>
              <w:bottom w:val="single" w:color="000000" w:sz="8" w:space="0"/>
              <w:right w:val="single" w:color="000000" w:sz="8" w:space="0"/>
            </w:tcBorders>
            <w:tcMar>
              <w:left w:w="0" w:type="dxa"/>
              <w:top w:w="0" w:type="dxa"/>
              <w:right w:w="0" w:type="dxa"/>
              <w:bottom w:w="0" w:type="dxa"/>
            </w:tcMar>
            <w:tcW w:w="21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rPr/>
            </w:pPr>
            <w:r>
              <w:rPr>
                <w:rFonts w:ascii="Times New Roman" w:hAnsi="Times New Roman" w:eastAsia="Times New Roman" w:cs="Times New Roman"/>
                <w:color w:val="000000"/>
                <w:sz w:val="24"/>
              </w:rPr>
              <w:t xml:space="preserve">Tờ bản đồ số:</w:t>
            </w:r>
            <w:r/>
          </w:p>
        </w:tc>
        <w:tc>
          <w:tcPr>
            <w:shd w:val="clear" w:color="ffffff" w:fill="ffffff"/>
            <w:tcBorders>
              <w:bottom w:val="single" w:color="000000" w:sz="8" w:space="0"/>
              <w:right w:val="single" w:color="000000" w:sz="8" w:space="0"/>
            </w:tcBorders>
            <w:tcMar>
              <w:left w:w="0" w:type="dxa"/>
              <w:top w:w="0" w:type="dxa"/>
              <w:right w:w="0" w:type="dxa"/>
              <w:bottom w:w="0" w:type="dxa"/>
            </w:tcMar>
            <w:tcW w:w="22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jc w:val="center"/>
              <w:rPr/>
            </w:pPr>
            <w:r>
              <w:rPr>
                <w:rFonts w:ascii="Times New Roman" w:hAnsi="Times New Roman" w:eastAsia="Times New Roman" w:cs="Times New Roman"/>
                <w:color w:val="000000"/>
                <w:sz w:val="24"/>
              </w:rPr>
              <w:t xml:space="preserve">24</w:t>
            </w:r>
            <w:r/>
          </w:p>
        </w:tc>
      </w:tr>
      <w:tr>
        <w:trPr>
          <w:trHeight w:val="615"/>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0" w:type="dxa"/>
              <w:top w:w="0" w:type="dxa"/>
              <w:right w:w="0" w:type="dxa"/>
              <w:bottom w:w="0" w:type="dxa"/>
            </w:tcMar>
            <w:tcW w:w="656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both"/>
              <w:rPr/>
            </w:pPr>
            <w:r>
              <w:rPr>
                <w:rFonts w:ascii="Times New Roman" w:hAnsi="Times New Roman" w:eastAsia="Times New Roman" w:cs="Times New Roman"/>
                <w:color w:val="000000"/>
                <w:sz w:val="24"/>
              </w:rPr>
              <w:t xml:space="preserve">Thôn Dương Ổ, xã Phong Khê, huyện Yên Phong, tỉnh Bắc Ninh  </w:t>
            </w:r>
            <w:r>
              <w:rPr>
                <w:rFonts w:ascii="Times New Roman" w:hAnsi="Times New Roman" w:eastAsia="Times New Roman" w:cs="Times New Roman"/>
                <w:i/>
                <w:color w:val="000000"/>
                <w:sz w:val="24"/>
              </w:rPr>
              <w:t xml:space="preserve">(nay là Phường Võ Cường, thành phố Bắc Ninh)</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Diện tích (m²):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1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jc w:val="center"/>
              <w:rPr/>
            </w:pPr>
            <w:r>
              <w:rPr>
                <w:rFonts w:ascii="Times New Roman" w:hAnsi="Times New Roman" w:eastAsia="Times New Roman" w:cs="Times New Roman"/>
                <w:color w:val="000000"/>
                <w:sz w:val="24"/>
              </w:rPr>
              <w:t xml:space="preserve">102,0</w:t>
            </w:r>
            <w:r/>
          </w:p>
        </w:tc>
        <w:tc>
          <w:tcPr>
            <w:tcBorders>
              <w:bottom w:val="single" w:color="000000" w:sz="8" w:space="0"/>
              <w:right w:val="single" w:color="000000" w:sz="8" w:space="0"/>
            </w:tcBorders>
            <w:tcMar>
              <w:left w:w="0" w:type="dxa"/>
              <w:top w:w="0" w:type="dxa"/>
              <w:right w:w="0" w:type="dxa"/>
              <w:bottom w:w="0" w:type="dxa"/>
            </w:tcMar>
            <w:tcW w:w="21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0" w:type="dxa"/>
              <w:top w:w="0" w:type="dxa"/>
              <w:right w:w="0" w:type="dxa"/>
              <w:bottom w:w="0" w:type="dxa"/>
            </w:tcMar>
            <w:tcW w:w="22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center"/>
              <w:rPr/>
            </w:pPr>
            <w:r>
              <w:rPr>
                <w:rFonts w:ascii="Times New Roman" w:hAnsi="Times New Roman" w:eastAsia="Times New Roman" w:cs="Times New Roman"/>
                <w:color w:val="000000"/>
                <w:sz w:val="24"/>
              </w:rPr>
              <w:t xml:space="preserve">./.</w:t>
            </w:r>
            <w:r/>
          </w:p>
        </w:tc>
      </w:tr>
      <w:tr>
        <w:trPr>
          <w:trHeight w:val="565"/>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0" w:type="dxa"/>
              <w:top w:w="0" w:type="dxa"/>
              <w:right w:w="0" w:type="dxa"/>
              <w:bottom w:w="0" w:type="dxa"/>
            </w:tcMar>
            <w:tcW w:w="21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center"/>
              <w:rPr/>
            </w:pPr>
            <w:r>
              <w:rPr>
                <w:rFonts w:ascii="Times New Roman" w:hAnsi="Times New Roman" w:eastAsia="Times New Roman" w:cs="Times New Roman"/>
                <w:color w:val="000000"/>
                <w:sz w:val="24"/>
              </w:rPr>
              <w:t xml:space="preserve">Đất ở tại nông thôn</w:t>
            </w:r>
            <w:r/>
          </w:p>
        </w:tc>
        <w:tc>
          <w:tcPr>
            <w:tcBorders>
              <w:bottom w:val="single" w:color="000000" w:sz="8" w:space="0"/>
              <w:right w:val="single" w:color="000000" w:sz="8" w:space="0"/>
            </w:tcBorders>
            <w:tcMar>
              <w:left w:w="0" w:type="dxa"/>
              <w:top w:w="0" w:type="dxa"/>
              <w:right w:w="0" w:type="dxa"/>
              <w:bottom w:w="0" w:type="dxa"/>
            </w:tcMar>
            <w:tcW w:w="21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0" w:type="dxa"/>
              <w:top w:w="0" w:type="dxa"/>
              <w:right w:w="0" w:type="dxa"/>
              <w:bottom w:w="0" w:type="dxa"/>
            </w:tcMar>
            <w:tcW w:w="22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center"/>
              <w:rPr/>
            </w:pPr>
            <w:r>
              <w:rPr>
                <w:rFonts w:ascii="Times New Roman" w:hAnsi="Times New Roman" w:eastAsia="Times New Roman" w:cs="Times New Roman"/>
                <w:color w:val="000000"/>
                <w:sz w:val="24"/>
              </w:rPr>
              <w:t xml:space="preserve">Lâu dài</w:t>
            </w:r>
            <w:r/>
          </w:p>
        </w:tc>
      </w:tr>
      <w:tr>
        <w:trPr>
          <w:trHeight w:val="418"/>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1.2</w:t>
            </w:r>
            <w:r/>
          </w:p>
        </w:tc>
        <w:tc>
          <w:tcPr>
            <w:gridSpan w:val="4"/>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b/>
                <w:color w:val="000000"/>
                <w:sz w:val="24"/>
              </w:rPr>
              <w:t xml:space="preserve">Ghi chú: Không</w:t>
            </w:r>
            <w:r/>
          </w:p>
        </w:tc>
      </w:tr>
      <w:tr>
        <w:trPr>
          <w:trHeight w:val="360"/>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1.3.</w:t>
            </w:r>
            <w:r/>
          </w:p>
        </w:tc>
        <w:tc>
          <w:tcPr>
            <w:gridSpan w:val="4"/>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b/>
                <w:color w:val="000000"/>
                <w:sz w:val="24"/>
              </w:rPr>
              <w:t xml:space="preserve">Thông tin quy hoạch:</w:t>
            </w:r>
            <w:r/>
          </w:p>
        </w:tc>
      </w:tr>
      <w:tr>
        <w:trPr>
          <w:trHeight w:val="360"/>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4"/>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both"/>
              <w:rPr/>
            </w:pPr>
            <w:r>
              <w:rPr>
                <w:rFonts w:ascii="Times New Roman" w:hAnsi="Times New Roman" w:eastAsia="Times New Roman" w:cs="Times New Roman"/>
                <w:color w:val="ee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ee0000"/>
                <w:sz w:val="24"/>
              </w:rPr>
              <w:t xml:space="preserve">định vị trí tài sản thuộc quy hoạch đất ở.</w:t>
            </w:r>
            <w:r/>
          </w:p>
        </w:tc>
      </w:tr>
      <w:tr>
        <w:trPr>
          <w:trHeight w:val="360"/>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4"/>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center"/>
              <w:rPr/>
            </w:pPr>
            <w:r>
              <mc:AlternateContent>
                <mc:Choice Requires="wpg">
                  <w:drawing>
                    <wp:inline xmlns:wp="http://schemas.openxmlformats.org/drawingml/2006/wordprocessingDrawing" distT="0" distB="0" distL="0" distR="0">
                      <wp:extent cx="6048375" cy="3484243"/>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612157" name=""/>
                              <pic:cNvPicPr>
                                <a:picLocks noChangeAspect="1"/>
                              </pic:cNvPicPr>
                              <pic:nvPr/>
                            </pic:nvPicPr>
                            <pic:blipFill rotWithShape="1">
                              <a:blip r:embed="rId19"/>
                              <a:stretch/>
                            </pic:blipFill>
                            <pic:spPr bwMode="auto">
                              <a:xfrm>
                                <a:off x="0" y="0"/>
                                <a:ext cx="6048374" cy="348424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476.25pt;height:274.35pt;mso-wrap-distance-left:0.00pt;mso-wrap-distance-top:0.00pt;mso-wrap-distance-right:0.00pt;mso-wrap-distance-bottom:0.00pt;z-index:1;" stroked="false">
                      <v:imagedata r:id="rId19" o:title=""/>
                      <o:lock v:ext="edit" rotation="t"/>
                    </v:shape>
                  </w:pict>
                </mc:Fallback>
              </mc:AlternateContent>
            </w:r>
            <w:r/>
          </w:p>
        </w:tc>
      </w:tr>
      <w:tr>
        <w:trPr>
          <w:trHeight w:val="449"/>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b/>
                <w:color w:val="000000"/>
                <w:sz w:val="24"/>
              </w:rPr>
              <w:t xml:space="preserve">Về đất:</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b/>
                <w:color w:val="000000"/>
                <w:sz w:val="24"/>
              </w:rPr>
              <w:t xml:space="preserve">Vị trí; Giao thông;</w:t>
            </w:r>
            <w:r/>
          </w:p>
        </w:tc>
      </w:tr>
      <w:tr>
        <w:trPr>
          <w:trHeight w:val="539"/>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0" w:type="dxa"/>
              <w:top w:w="0" w:type="dxa"/>
              <w:right w:w="0" w:type="dxa"/>
              <w:bottom w:w="0" w:type="dxa"/>
            </w:tcMar>
            <w:tcW w:w="656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Thôn Dương Ổ, Phường Võ Cường, tỉnh Bắc Ninh</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0" w:type="dxa"/>
              <w:top w:w="0" w:type="dxa"/>
              <w:right w:w="0" w:type="dxa"/>
              <w:bottom w:w="0" w:type="dxa"/>
            </w:tcMar>
            <w:tcW w:w="21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center"/>
              <w:rPr/>
            </w:pPr>
            <w:r>
              <w:rPr>
                <w:rFonts w:ascii="Times New Roman" w:hAnsi="Times New Roman" w:eastAsia="Times New Roman" w:cs="Times New Roman"/>
                <w:color w:val="000000"/>
                <w:sz w:val="24"/>
              </w:rPr>
              <w:t xml:space="preserve">Ngõ đi chung</w:t>
            </w:r>
            <w:r/>
          </w:p>
        </w:tc>
        <w:tc>
          <w:tcPr>
            <w:tcBorders>
              <w:bottom w:val="single" w:color="000000" w:sz="8" w:space="0"/>
              <w:right w:val="single" w:color="000000" w:sz="8" w:space="0"/>
            </w:tcBorders>
            <w:tcMar>
              <w:left w:w="0" w:type="dxa"/>
              <w:top w:w="0" w:type="dxa"/>
              <w:right w:w="0" w:type="dxa"/>
              <w:bottom w:w="0" w:type="dxa"/>
            </w:tcMar>
            <w:tcW w:w="21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0" w:type="dxa"/>
              <w:top w:w="0" w:type="dxa"/>
              <w:right w:w="0" w:type="dxa"/>
              <w:bottom w:w="0" w:type="dxa"/>
            </w:tcMar>
            <w:tcW w:w="22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center"/>
              <w:rPr/>
            </w:pPr>
            <w:r>
              <w:rPr>
                <w:rFonts w:ascii="Times New Roman" w:hAnsi="Times New Roman" w:eastAsia="Times New Roman" w:cs="Times New Roman"/>
                <w:color w:val="000000"/>
                <w:sz w:val="24"/>
              </w:rPr>
              <w:t xml:space="preserve">01 mặt tiền</w:t>
            </w:r>
            <w:r/>
          </w:p>
        </w:tc>
      </w:tr>
      <w:tr>
        <w:trPr>
          <w:trHeight w:val="1373"/>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0" w:type="dxa"/>
              <w:top w:w="0" w:type="dxa"/>
              <w:right w:w="0" w:type="dxa"/>
              <w:bottom w:w="0" w:type="dxa"/>
            </w:tcMar>
            <w:tcW w:w="21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center"/>
              <w:rPr/>
            </w:pPr>
            <w:r>
              <w:rPr>
                <w:rFonts w:ascii="Times New Roman" w:hAnsi="Times New Roman" w:eastAsia="Times New Roman" w:cs="Times New Roman"/>
                <w:color w:val="000000"/>
                <w:sz w:val="24"/>
              </w:rPr>
              <w:t xml:space="preserve">2,8</w:t>
            </w:r>
            <w:r/>
          </w:p>
        </w:tc>
        <w:tc>
          <w:tcPr>
            <w:tcBorders>
              <w:bottom w:val="single" w:color="000000" w:sz="8" w:space="0"/>
              <w:right w:val="single" w:color="000000" w:sz="8" w:space="0"/>
            </w:tcBorders>
            <w:tcMar>
              <w:left w:w="0" w:type="dxa"/>
              <w:top w:w="0" w:type="dxa"/>
              <w:right w:w="0" w:type="dxa"/>
              <w:bottom w:w="0" w:type="dxa"/>
            </w:tcMar>
            <w:tcW w:w="21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both"/>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0" w:type="dxa"/>
              <w:top w:w="0" w:type="dxa"/>
              <w:right w:w="0" w:type="dxa"/>
              <w:bottom w:w="0" w:type="dxa"/>
            </w:tcMar>
            <w:tcW w:w="22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center"/>
              <w:rPr/>
            </w:pPr>
            <w:r>
              <w:rPr>
                <w:rFonts w:ascii="Times New Roman" w:hAnsi="Times New Roman" w:eastAsia="Times New Roman" w:cs="Times New Roman"/>
                <w:color w:val="000000"/>
                <w:sz w:val="24"/>
              </w:rPr>
              <w:t xml:space="preserve">2,8</w:t>
            </w:r>
            <w:r/>
          </w:p>
        </w:tc>
      </w:tr>
      <w:tr>
        <w:trPr>
          <w:trHeight w:val="743"/>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0" w:type="dxa"/>
              <w:top w:w="0" w:type="dxa"/>
              <w:right w:w="0" w:type="dxa"/>
              <w:bottom w:w="0" w:type="dxa"/>
            </w:tcMar>
            <w:tcW w:w="656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Cách đường Nguyễn Văn Cừ khoảng 800m</w:t>
            </w:r>
            <w:r/>
          </w:p>
        </w:tc>
      </w:tr>
      <w:tr>
        <w:trPr>
          <w:trHeight w:val="667"/>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rPr/>
            </w:pPr>
            <w:r>
              <w:rPr>
                <w:rFonts w:ascii="Times New Roman" w:hAnsi="Times New Roman" w:eastAsia="Times New Roman" w:cs="Times New Roman"/>
                <w:color w:val="000000"/>
                <w:sz w:val="24"/>
              </w:rPr>
              <w:t xml:space="preserve">Các hướng tiếp giáp:</w:t>
            </w:r>
            <w:r/>
          </w:p>
        </w:tc>
        <w:tc>
          <w:tcPr>
            <w:gridSpan w:val="3"/>
            <w:shd w:val="clear" w:color="ffffff" w:fill="ffffff"/>
            <w:tcBorders>
              <w:bottom w:val="single" w:color="000000" w:sz="8" w:space="0"/>
              <w:right w:val="single" w:color="000000" w:sz="8" w:space="0"/>
            </w:tcBorders>
            <w:tcMar>
              <w:left w:w="0" w:type="dxa"/>
              <w:top w:w="0" w:type="dxa"/>
              <w:right w:w="0" w:type="dxa"/>
              <w:bottom w:w="0" w:type="dxa"/>
            </w:tcMar>
            <w:tcW w:w="656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rPr/>
            </w:pPr>
            <w:r>
              <w:rPr>
                <w:rFonts w:ascii="Times New Roman" w:hAnsi="Times New Roman" w:eastAsia="Times New Roman" w:cs="Times New Roman"/>
                <w:color w:val="000000"/>
                <w:sz w:val="24"/>
              </w:rPr>
              <w:t xml:space="preserve">+ Hướng Nam: tiếp giáp đường giao thông 2,8m;</w:t>
              <w:br/>
              <w:t xml:space="preserve"> + Các hướng còn lại tiếp giáp thửa đất khác.</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rPr/>
            </w:pPr>
            <w:r>
              <w:rPr>
                <w:rFonts w:ascii="Times New Roman" w:hAnsi="Times New Roman" w:eastAsia="Times New Roman" w:cs="Times New Roman"/>
                <w:color w:val="000000"/>
                <w:sz w:val="24"/>
              </w:rPr>
              <w:t xml:space="preserve">Vị trí trên bản đồ vệ tinh: (21.163222222222, 106.03169444444)</w:t>
            </w:r>
            <w:r/>
          </w:p>
        </w:tc>
      </w:tr>
      <w:tr>
        <w:trPr>
          <w:trHeight w:val="732"/>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136" w:firstLine="0" w:left="0"/>
              <w:jc w:val="center"/>
              <w:rPr/>
            </w:pPr>
            <w:r>
              <mc:AlternateContent>
                <mc:Choice Requires="wpg">
                  <w:drawing>
                    <wp:inline xmlns:wp="http://schemas.openxmlformats.org/drawingml/2006/wordprocessingDrawing" distT="0" distB="0" distL="0" distR="0">
                      <wp:extent cx="6048375" cy="282169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818470" name=""/>
                              <pic:cNvPicPr>
                                <a:picLocks noChangeAspect="1"/>
                              </pic:cNvPicPr>
                              <pic:nvPr/>
                            </pic:nvPicPr>
                            <pic:blipFill rotWithShape="1">
                              <a:blip r:embed="rId20"/>
                              <a:stretch/>
                            </pic:blipFill>
                            <pic:spPr bwMode="auto">
                              <a:xfrm>
                                <a:off x="0" y="0"/>
                                <a:ext cx="6048374" cy="28216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476.25pt;height:222.18pt;mso-wrap-distance-left:0.00pt;mso-wrap-distance-top:0.00pt;mso-wrap-distance-right:0.00pt;mso-wrap-distance-bottom:0.00pt;z-index:1;" stroked="false">
                      <v:imagedata r:id="rId20" o:title=""/>
                      <o:lock v:ext="edit" rotation="t"/>
                    </v:shape>
                  </w:pict>
                </mc:Fallback>
              </mc:AlternateContent>
            </w:r>
            <w:r/>
          </w:p>
        </w:tc>
      </w:tr>
      <w:tr>
        <w:trPr>
          <w:trHeight w:val="450"/>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rPr/>
            </w:pPr>
            <w:r>
              <w:rPr>
                <w:rFonts w:ascii="Times New Roman" w:hAnsi="Times New Roman" w:eastAsia="Times New Roman" w:cs="Times New Roman"/>
                <w:b/>
                <w:color w:val="000000"/>
                <w:sz w:val="24"/>
              </w:rPr>
              <w:t xml:space="preserve">Diện tích; Kích thước; Hình dáng</w:t>
            </w:r>
            <w:r/>
          </w:p>
        </w:tc>
      </w:tr>
      <w:tr>
        <w:trPr>
          <w:trHeight w:val="675"/>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rPr/>
            </w:pPr>
            <w:r>
              <w:rPr>
                <w:rFonts w:ascii="Times New Roman" w:hAnsi="Times New Roman" w:eastAsia="Times New Roman" w:cs="Times New Roman"/>
                <w:color w:val="000000"/>
                <w:sz w:val="24"/>
              </w:rPr>
              <w:t xml:space="preserve">Diện tích sử dụng riêng thực tế (m²):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1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jc w:val="center"/>
              <w:rPr/>
            </w:pPr>
            <w:r>
              <w:rPr>
                <w:rFonts w:ascii="Times New Roman" w:hAnsi="Times New Roman" w:eastAsia="Times New Roman" w:cs="Times New Roman"/>
                <w:color w:val="000000"/>
                <w:sz w:val="24"/>
              </w:rPr>
              <w:t xml:space="preserve">102,0</w:t>
            </w:r>
            <w:r/>
          </w:p>
        </w:tc>
        <w:tc>
          <w:tcPr>
            <w:shd w:val="clear" w:color="ffffff" w:fill="ffffff"/>
            <w:tcBorders>
              <w:bottom w:val="single" w:color="000000" w:sz="8" w:space="0"/>
              <w:right w:val="single" w:color="000000" w:sz="8" w:space="0"/>
            </w:tcBorders>
            <w:tcMar>
              <w:left w:w="0" w:type="dxa"/>
              <w:top w:w="0" w:type="dxa"/>
              <w:right w:w="0" w:type="dxa"/>
              <w:bottom w:w="0" w:type="dxa"/>
            </w:tcMar>
            <w:tcW w:w="21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rPr/>
            </w:pPr>
            <w:r>
              <w:rPr>
                <w:rFonts w:ascii="Times New Roman" w:hAnsi="Times New Roman" w:eastAsia="Times New Roman" w:cs="Times New Roman"/>
                <w:color w:val="000000"/>
                <w:sz w:val="24"/>
              </w:rPr>
              <w:t xml:space="preserve">Diện tích sử dụng chung thực tế (m²):</w:t>
            </w:r>
            <w:r/>
          </w:p>
        </w:tc>
        <w:tc>
          <w:tcPr>
            <w:shd w:val="clear" w:color="ffffff" w:fill="ffffff"/>
            <w:tcBorders>
              <w:bottom w:val="single" w:color="000000" w:sz="8" w:space="0"/>
              <w:right w:val="single" w:color="000000" w:sz="8" w:space="0"/>
            </w:tcBorders>
            <w:tcMar>
              <w:left w:w="0" w:type="dxa"/>
              <w:top w:w="0" w:type="dxa"/>
              <w:right w:w="0" w:type="dxa"/>
              <w:bottom w:w="0" w:type="dxa"/>
            </w:tcMar>
            <w:tcW w:w="22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jc w:val="center"/>
              <w:rPr/>
            </w:pPr>
            <w:r>
              <w:rPr>
                <w:rFonts w:ascii="Times New Roman" w:hAnsi="Times New Roman" w:eastAsia="Times New Roman" w:cs="Times New Roman"/>
                <w:color w:val="000000"/>
                <w:sz w:val="24"/>
              </w:rPr>
              <w:t xml:space="preserve">0</w:t>
            </w:r>
            <w:r/>
          </w:p>
        </w:tc>
      </w:tr>
      <w:tr>
        <w:trPr>
          <w:trHeight w:val="545"/>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rPr/>
            </w:pPr>
            <w:r>
              <w:rPr>
                <w:rFonts w:ascii="Times New Roman" w:hAnsi="Times New Roman" w:eastAsia="Times New Roman" w:cs="Times New Roman"/>
                <w:color w:val="000000"/>
                <w:sz w:val="24"/>
              </w:rPr>
              <w:t xml:space="preserve">KT mặt tiền (m):</w:t>
            </w:r>
            <w:r/>
          </w:p>
        </w:tc>
        <w:tc>
          <w:tcPr>
            <w:shd w:val="clear" w:color="ffffff" w:fill="ffffff"/>
            <w:tcBorders>
              <w:bottom w:val="single" w:color="000000" w:sz="8" w:space="0"/>
              <w:right w:val="single" w:color="000000" w:sz="8" w:space="0"/>
            </w:tcBorders>
            <w:tcMar>
              <w:left w:w="0" w:type="dxa"/>
              <w:top w:w="0" w:type="dxa"/>
              <w:right w:w="0" w:type="dxa"/>
              <w:bottom w:w="0" w:type="dxa"/>
            </w:tcMar>
            <w:tcW w:w="21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jc w:val="center"/>
              <w:rPr/>
            </w:pPr>
            <w:r>
              <w:rPr>
                <w:rFonts w:ascii="Times New Roman" w:hAnsi="Times New Roman" w:eastAsia="Times New Roman" w:cs="Times New Roman"/>
                <w:color w:val="000000"/>
                <w:sz w:val="24"/>
              </w:rPr>
              <w:t xml:space="preserve">13,23</w:t>
            </w:r>
            <w:r/>
          </w:p>
        </w:tc>
        <w:tc>
          <w:tcPr>
            <w:shd w:val="clear" w:color="ffffff" w:fill="ffffff"/>
            <w:tcBorders>
              <w:bottom w:val="single" w:color="000000" w:sz="8" w:space="0"/>
              <w:right w:val="single" w:color="000000" w:sz="8" w:space="0"/>
            </w:tcBorders>
            <w:tcMar>
              <w:left w:w="0" w:type="dxa"/>
              <w:top w:w="0" w:type="dxa"/>
              <w:right w:w="0" w:type="dxa"/>
              <w:bottom w:w="0" w:type="dxa"/>
            </w:tcMar>
            <w:tcW w:w="21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rPr/>
            </w:pPr>
            <w:r>
              <w:rPr>
                <w:rFonts w:ascii="Times New Roman" w:hAnsi="Times New Roman" w:eastAsia="Times New Roman" w:cs="Times New Roman"/>
                <w:color w:val="000000"/>
                <w:sz w:val="24"/>
              </w:rPr>
              <w:t xml:space="preserve">Chiều sâu (m): </w:t>
            </w:r>
            <w:r/>
          </w:p>
        </w:tc>
        <w:tc>
          <w:tcPr>
            <w:shd w:val="clear" w:color="ffffff" w:fill="ffffff"/>
            <w:tcBorders>
              <w:bottom w:val="single" w:color="000000" w:sz="8" w:space="0"/>
              <w:right w:val="single" w:color="000000" w:sz="8" w:space="0"/>
            </w:tcBorders>
            <w:tcMar>
              <w:left w:w="0" w:type="dxa"/>
              <w:top w:w="0" w:type="dxa"/>
              <w:right w:w="0" w:type="dxa"/>
              <w:bottom w:w="0" w:type="dxa"/>
            </w:tcMar>
            <w:tcW w:w="22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jc w:val="center"/>
              <w:rPr/>
            </w:pPr>
            <w:r>
              <w:rPr>
                <w:rFonts w:ascii="Times New Roman" w:hAnsi="Times New Roman" w:eastAsia="Times New Roman" w:cs="Times New Roman"/>
                <w:color w:val="000000"/>
                <w:sz w:val="24"/>
              </w:rPr>
              <w:t xml:space="preserve">8,24</w:t>
            </w:r>
            <w:r/>
          </w:p>
        </w:tc>
      </w:tr>
      <w:tr>
        <w:trPr>
          <w:trHeight w:val="615"/>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rPr/>
            </w:pPr>
            <w:r>
              <w:rPr>
                <w:rFonts w:ascii="Times New Roman" w:hAnsi="Times New Roman" w:eastAsia="Times New Roman" w:cs="Times New Roman"/>
                <w:color w:val="000000"/>
                <w:sz w:val="24"/>
              </w:rPr>
              <w:t xml:space="preserve">Hình dáng</w:t>
            </w:r>
            <w:r/>
          </w:p>
        </w:tc>
        <w:tc>
          <w:tcPr>
            <w:shd w:val="clear" w:color="ffffff" w:fill="ffffff"/>
            <w:tcBorders>
              <w:bottom w:val="single" w:color="000000" w:sz="8" w:space="0"/>
              <w:right w:val="single" w:color="000000" w:sz="8" w:space="0"/>
            </w:tcBorders>
            <w:tcMar>
              <w:left w:w="0" w:type="dxa"/>
              <w:top w:w="0" w:type="dxa"/>
              <w:right w:w="0" w:type="dxa"/>
              <w:bottom w:w="0" w:type="dxa"/>
            </w:tcMar>
            <w:tcW w:w="21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jc w:val="center"/>
              <w:rPr/>
            </w:pPr>
            <w:r>
              <w:rPr>
                <w:rFonts w:ascii="Times New Roman" w:hAnsi="Times New Roman" w:eastAsia="Times New Roman" w:cs="Times New Roman"/>
                <w:color w:val="000000"/>
                <w:sz w:val="24"/>
              </w:rPr>
              <w:t xml:space="preserve">Tương đối vuông vức</w:t>
            </w:r>
            <w:r/>
          </w:p>
        </w:tc>
        <w:tc>
          <w:tcPr>
            <w:shd w:val="clear" w:color="ffffff" w:fill="ffffff"/>
            <w:tcBorders>
              <w:bottom w:val="single" w:color="000000" w:sz="8" w:space="0"/>
              <w:right w:val="single" w:color="000000" w:sz="8" w:space="0"/>
            </w:tcBorders>
            <w:tcMar>
              <w:left w:w="0" w:type="dxa"/>
              <w:top w:w="0" w:type="dxa"/>
              <w:right w:w="0" w:type="dxa"/>
              <w:bottom w:w="0" w:type="dxa"/>
            </w:tcMar>
            <w:tcW w:w="214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rPr/>
            </w:pPr>
            <w:r>
              <w:rPr>
                <w:rFonts w:ascii="Times New Roman" w:hAnsi="Times New Roman" w:eastAsia="Times New Roman" w:cs="Times New Roman"/>
                <w:color w:val="000000"/>
                <w:sz w:val="24"/>
              </w:rPr>
              <w:t xml:space="preserve">Hướng chính</w:t>
            </w:r>
            <w:r/>
          </w:p>
        </w:tc>
        <w:tc>
          <w:tcPr>
            <w:shd w:val="clear" w:color="ffffff" w:fill="ffffff"/>
            <w:tcBorders>
              <w:bottom w:val="single" w:color="000000" w:sz="8" w:space="0"/>
              <w:right w:val="single" w:color="000000" w:sz="8" w:space="0"/>
            </w:tcBorders>
            <w:tcMar>
              <w:left w:w="0" w:type="dxa"/>
              <w:top w:w="0" w:type="dxa"/>
              <w:right w:w="0" w:type="dxa"/>
              <w:bottom w:w="0" w:type="dxa"/>
            </w:tcMar>
            <w:tcW w:w="22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jc w:val="center"/>
              <w:rPr/>
            </w:pPr>
            <w:r>
              <w:rPr>
                <w:rFonts w:ascii="Times New Roman" w:hAnsi="Times New Roman" w:eastAsia="Times New Roman" w:cs="Times New Roman"/>
                <w:color w:val="000000"/>
                <w:sz w:val="24"/>
              </w:rPr>
              <w:t xml:space="preserve">Nam</w:t>
            </w:r>
            <w:r/>
          </w:p>
        </w:tc>
      </w:tr>
      <w:tr>
        <w:trPr>
          <w:trHeight w:val="505"/>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shd w:val="clear" w:color="ffffff" w:fill="ffffff"/>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501"/>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Mật độ dân cư:</w:t>
            </w:r>
            <w:r/>
          </w:p>
        </w:tc>
        <w:tc>
          <w:tcPr>
            <w:shd w:val="clear" w:color="ffffff" w:fill="ffffff"/>
            <w:tcBorders>
              <w:bottom w:val="single" w:color="000000" w:sz="8" w:space="0"/>
              <w:right w:val="single" w:color="000000" w:sz="8" w:space="0"/>
            </w:tcBorders>
            <w:tcMar>
              <w:left w:w="0" w:type="dxa"/>
              <w:top w:w="0" w:type="dxa"/>
              <w:right w:w="0" w:type="dxa"/>
              <w:bottom w:w="0" w:type="dxa"/>
            </w:tcMar>
            <w:tcW w:w="218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jc w:val="center"/>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0" w:type="dxa"/>
              <w:top w:w="0" w:type="dxa"/>
              <w:right w:w="0" w:type="dxa"/>
              <w:bottom w:w="0" w:type="dxa"/>
            </w:tcMar>
            <w:tcW w:w="21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Đời sống dân cư:</w:t>
            </w:r>
            <w:r/>
          </w:p>
        </w:tc>
        <w:tc>
          <w:tcPr>
            <w:shd w:val="clear" w:color="ffffff" w:fill="ffffff"/>
            <w:tcBorders>
              <w:bottom w:val="single" w:color="000000" w:sz="8" w:space="0"/>
              <w:right w:val="single" w:color="000000" w:sz="8" w:space="0"/>
            </w:tcBorders>
            <w:tcMar>
              <w:left w:w="0" w:type="dxa"/>
              <w:top w:w="0" w:type="dxa"/>
              <w:right w:w="0" w:type="dxa"/>
              <w:bottom w:w="0" w:type="dxa"/>
            </w:tcMar>
            <w:tcW w:w="222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36" w:hanging="3" w:left="145"/>
              <w:jc w:val="center"/>
              <w:rPr/>
            </w:pPr>
            <w:r>
              <w:rPr>
                <w:rFonts w:ascii="Times New Roman" w:hAnsi="Times New Roman" w:eastAsia="Times New Roman" w:cs="Times New Roman"/>
                <w:color w:val="000000"/>
                <w:sz w:val="24"/>
              </w:rPr>
              <w:t xml:space="preserve">Ổn định</w:t>
            </w:r>
            <w:r/>
          </w:p>
        </w:tc>
      </w:tr>
      <w:tr>
        <w:trPr>
          <w:trHeight w:val="605"/>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0" w:type="dxa"/>
              <w:top w:w="0" w:type="dxa"/>
              <w:right w:w="0" w:type="dxa"/>
              <w:bottom w:w="0" w:type="dxa"/>
            </w:tcMar>
            <w:tcW w:w="21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center"/>
              <w:rPr/>
            </w:pPr>
            <w:r>
              <w:rPr>
                <w:rFonts w:ascii="Times New Roman" w:hAnsi="Times New Roman" w:eastAsia="Times New Roman" w:cs="Times New Roman"/>
                <w:color w:val="000000"/>
                <w:sz w:val="24"/>
              </w:rPr>
              <w:t xml:space="preserve">Phù hợp để ở</w:t>
            </w:r>
            <w:r/>
          </w:p>
        </w:tc>
        <w:tc>
          <w:tcPr>
            <w:tcBorders>
              <w:bottom w:val="single" w:color="000000" w:sz="8" w:space="0"/>
              <w:right w:val="single" w:color="000000" w:sz="8" w:space="0"/>
            </w:tcBorders>
            <w:tcMar>
              <w:left w:w="0" w:type="dxa"/>
              <w:top w:w="0" w:type="dxa"/>
              <w:right w:w="0" w:type="dxa"/>
              <w:bottom w:w="0" w:type="dxa"/>
            </w:tcMar>
            <w:tcW w:w="21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0" w:type="dxa"/>
              <w:top w:w="0" w:type="dxa"/>
              <w:right w:w="0" w:type="dxa"/>
              <w:bottom w:w="0" w:type="dxa"/>
            </w:tcMar>
            <w:tcW w:w="22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center"/>
              <w:rPr/>
            </w:pPr>
            <w:r>
              <w:rPr>
                <w:rFonts w:ascii="Times New Roman" w:hAnsi="Times New Roman" w:eastAsia="Times New Roman" w:cs="Times New Roman"/>
                <w:color w:val="000000"/>
                <w:sz w:val="24"/>
              </w:rPr>
              <w:t xml:space="preserve">Tốt</w:t>
            </w:r>
            <w:r/>
          </w:p>
        </w:tc>
      </w:tr>
      <w:tr>
        <w:trPr>
          <w:trHeight w:val="1467"/>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0" w:type="dxa"/>
              <w:top w:w="0" w:type="dxa"/>
              <w:right w:w="0" w:type="dxa"/>
              <w:bottom w:w="0" w:type="dxa"/>
            </w:tcMar>
            <w:tcW w:w="26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Điều kiện cơ sở hạ tầng kỹ thuật:</w:t>
            </w:r>
            <w:r/>
          </w:p>
        </w:tc>
        <w:tc>
          <w:tcPr>
            <w:tcBorders>
              <w:bottom w:val="single" w:color="000000" w:sz="8" w:space="0"/>
              <w:right w:val="single" w:color="000000" w:sz="8" w:space="0"/>
            </w:tcBorders>
            <w:tcMar>
              <w:left w:w="0" w:type="dxa"/>
              <w:top w:w="0" w:type="dxa"/>
              <w:right w:w="0" w:type="dxa"/>
              <w:bottom w:w="0" w:type="dxa"/>
            </w:tcMar>
            <w:tcW w:w="218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center"/>
              <w:rPr/>
            </w:pPr>
            <w:r>
              <w:rPr>
                <w:rFonts w:ascii="Times New Roman" w:hAnsi="Times New Roman" w:eastAsia="Times New Roman" w:cs="Times New Roman"/>
                <w:color w:val="000000"/>
                <w:sz w:val="24"/>
              </w:rPr>
              <w:t xml:space="preserve">Hạ tầng khu dân cư thông thường: hệ thống cấp điện, cấp thoát nước đầy đủ</w:t>
            </w:r>
            <w:r/>
          </w:p>
        </w:tc>
        <w:tc>
          <w:tcPr>
            <w:tcBorders>
              <w:bottom w:val="single" w:color="000000" w:sz="8" w:space="0"/>
              <w:right w:val="single" w:color="000000" w:sz="8" w:space="0"/>
            </w:tcBorders>
            <w:tcMar>
              <w:left w:w="0" w:type="dxa"/>
              <w:top w:w="0" w:type="dxa"/>
              <w:right w:w="0" w:type="dxa"/>
              <w:bottom w:w="0" w:type="dxa"/>
            </w:tcMar>
            <w:tcW w:w="214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color w:val="000000"/>
                <w:sz w:val="24"/>
              </w:rPr>
              <w:t xml:space="preserve">Điều kiện môi trường an ninh:</w:t>
            </w:r>
            <w:r/>
          </w:p>
        </w:tc>
        <w:tc>
          <w:tcPr>
            <w:tcBorders>
              <w:bottom w:val="single" w:color="000000" w:sz="8" w:space="0"/>
              <w:right w:val="single" w:color="000000" w:sz="8" w:space="0"/>
            </w:tcBorders>
            <w:tcMar>
              <w:left w:w="0" w:type="dxa"/>
              <w:top w:w="0" w:type="dxa"/>
              <w:right w:w="0" w:type="dxa"/>
              <w:bottom w:w="0" w:type="dxa"/>
            </w:tcMar>
            <w:tcW w:w="22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center"/>
              <w:rPr/>
            </w:pPr>
            <w:r>
              <w:rPr>
                <w:rFonts w:ascii="Times New Roman" w:hAnsi="Times New Roman" w:eastAsia="Times New Roman" w:cs="Times New Roman"/>
                <w:color w:val="000000"/>
                <w:sz w:val="24"/>
              </w:rPr>
              <w:t xml:space="preserve">Tốt</w:t>
            </w:r>
            <w:r/>
          </w:p>
        </w:tc>
      </w:tr>
      <w:tr>
        <w:trPr>
          <w:trHeight w:val="315"/>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rPr/>
            </w:pPr>
            <w:r>
              <w:rPr>
                <w:rFonts w:ascii="Times New Roman" w:hAnsi="Times New Roman" w:eastAsia="Times New Roman" w:cs="Times New Roman"/>
                <w:b/>
                <w:color w:val="000000"/>
                <w:sz w:val="24"/>
              </w:rPr>
              <w:t xml:space="preserve"> Tài sản gắn liền với đất: </w:t>
            </w:r>
            <w:r/>
          </w:p>
        </w:tc>
      </w:tr>
      <w:tr>
        <w:trPr>
          <w:trHeight w:val="992"/>
        </w:trPr>
        <w:tc>
          <w:tcPr>
            <w:tcBorders>
              <w:left w:val="single" w:color="000000" w:sz="8" w:space="0"/>
              <w:bottom w:val="single" w:color="000000" w:sz="8" w:space="0"/>
              <w:right w:val="single" w:color="000000" w:sz="8" w:space="0"/>
            </w:tcBorders>
            <w:tcMar>
              <w:left w:w="0" w:type="dxa"/>
              <w:top w:w="0" w:type="dxa"/>
              <w:right w:w="0"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0" w:type="dxa"/>
              <w:top w:w="0" w:type="dxa"/>
              <w:right w:w="0" w:type="dxa"/>
              <w:bottom w:w="0" w:type="dxa"/>
            </w:tcMar>
            <w:tcW w:w="918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36" w:hanging="3" w:left="145"/>
              <w:jc w:val="both"/>
              <w:rPr/>
            </w:pPr>
            <w:r>
              <w:rPr>
                <w:rFonts w:ascii="Times New Roman" w:hAnsi="Times New Roman" w:eastAsia="Times New Roman" w:cs="Times New Roman"/>
                <w:color w:val="000000"/>
                <w:sz w:val="24"/>
              </w:rPr>
              <w:t xml:space="preserve">Tại thời điểm khảo sát, dưới sự hướng dẫn của chủ tài sản, trên đất có CTXD Nhà 02 tầng +1 tum, diện tích xây dựng khoảng 45,7m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diện tích sàn xây dựng khoảng 160m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xây dựng năm 2020. Công trình chưa được công nhận trên GCN QSDĐ số: X 399916.</w:t>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 </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single"/>
        </w:rPr>
        <w:t xml:space="preserve">Các lợi thế thương mại của các thửa đất:</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1049"/>
        <w:tblInd w:w="0" w:type="dxa"/>
        <w:tblW w:w="5113" w:type="pct"/>
        <w:tblCellMar>
          <w:left w:w="0" w:type="dxa"/>
          <w:top w:w="0" w:type="dxa"/>
          <w:right w:w="0" w:type="dxa"/>
          <w:bottom w:w="0" w:type="dxa"/>
        </w:tblCellMar>
        <w:tblBorders>
          <w:top w:val="single" w:color="000000" w:sz="8" w:space="0"/>
          <w:left w:val="single" w:color="000000" w:sz="8" w:space="0"/>
          <w:bottom w:val="single" w:color="000000" w:sz="6" w:space="0"/>
          <w:right w:val="single" w:color="000000" w:sz="6" w:space="0"/>
          <w:insideH w:val="single" w:color="000000" w:sz="4" w:space="0"/>
          <w:insideV w:val="single" w:color="000000" w:sz="4" w:space="0"/>
        </w:tblBorders>
        <w:tblLayout w:type="fixed"/>
        <w:tblLook w:val="04A0" w:firstRow="1" w:lastRow="0" w:firstColumn="1" w:lastColumn="0" w:noHBand="0" w:noVBand="1"/>
      </w:tblPr>
      <w:tblGrid>
        <w:gridCol w:w="754"/>
        <w:gridCol w:w="4252"/>
        <w:gridCol w:w="2395"/>
        <w:gridCol w:w="2395"/>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Đất/Tài sản bám biển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bám hồ (Diện tích &gt;=5ha thì được coi là hồ)</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Bám đầm, ao lớn thuộc sở hữu nhà nước (ao lớn - S=0.5ha)&lt;5ha</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Thế đất tọa sơn hướng thủy 'hậu tựa núi, trước view sông, hồ, đầm', view thoáng, không bị che khuất, loại đất rất được ưa chuộng nghỉ dưỡng, nhà nghỉ cao cấp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View hồ sông, sông, suối, đầm, ao lớn (S=0.5ha), ruộng lúa, đồi núi xa, ngắm hoàng hôn, bình minh xa soi mặt nước, thơ mộng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Đường vào thoáng không đâm thẳng cửa chính 'Thế tránh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Có yếu tố 'Linh' gắn với tiếng lành, tài lộc, đại danh, văn hóa, truyền thuyết được xem là khu địa linh nhân kiệt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Đất/tài sản liền kề, đối diện vườn hoa, khu thể thao, bể bơi (không đối diện nhà ở) để được xe hơi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5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view công viên, vườn hoa, khu thể thao, bể bơi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single"/>
        </w:rPr>
        <w:t xml:space="preserve">Các bất lợi thương mại của các thửa đất:</w:t>
      </w:r>
      <w:r/>
    </w:p>
    <w:p>
      <w:pPr>
        <w:pBdr>
          <w:top w:val="none" w:color="000000" w:sz="4" w:space="0"/>
          <w:left w:val="none" w:color="000000" w:sz="4" w:space="0"/>
          <w:bottom w:val="none" w:color="000000" w:sz="4" w:space="0"/>
          <w:right w:val="none" w:color="000000" w:sz="4" w:space="0"/>
        </w:pBdr>
        <w:spacing w:line="233" w:lineRule="auto"/>
        <w:ind w:right="0" w:firstLine="0" w:left="284"/>
        <w:jc w:val="both"/>
        <w:rPr/>
      </w:pPr>
      <w:r>
        <w:rPr>
          <w:rFonts w:ascii="Times New Roman" w:hAnsi="Times New Roman" w:eastAsia="Times New Roman" w:cs="Times New Roman"/>
          <w:b/>
          <w:color w:val="000000"/>
          <w:sz w:val="24"/>
          <w:u w:val="none"/>
        </w:rPr>
        <w:t xml:space="preserve"> </w:t>
      </w:r>
      <w:r/>
    </w:p>
    <w:tbl>
      <w:tblPr>
        <w:tblStyle w:val="1049"/>
        <w:tblInd w:w="0" w:type="dxa"/>
        <w:tblW w:w="5136" w:type="pct"/>
        <w:tblCellMar>
          <w:left w:w="0" w:type="dxa"/>
          <w:top w:w="0" w:type="dxa"/>
          <w:right w:w="0" w:type="dxa"/>
          <w:bottom w:w="0" w:type="dxa"/>
        </w:tblCellMar>
        <w:tblBorders>
          <w:top w:val="single" w:color="000000" w:sz="8" w:space="0"/>
          <w:left w:val="single" w:color="000000" w:sz="8" w:space="0"/>
          <w:bottom w:val="single" w:color="000000" w:sz="6" w:space="0"/>
          <w:right w:val="single" w:color="000000" w:sz="6" w:space="0"/>
          <w:insideH w:val="single" w:color="000000" w:sz="4" w:space="0"/>
          <w:insideV w:val="single" w:color="000000" w:sz="4" w:space="0"/>
        </w:tblBorders>
        <w:tblLayout w:type="fixed"/>
        <w:tblLook w:val="04A0" w:firstRow="1" w:lastRow="0" w:firstColumn="1" w:lastColumn="0" w:noHBand="0" w:noVBand="1"/>
      </w:tblPr>
      <w:tblGrid>
        <w:gridCol w:w="754"/>
        <w:gridCol w:w="4297"/>
        <w:gridCol w:w="2395"/>
        <w:gridCol w:w="2395"/>
      </w:tblGrid>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STT</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Nội dung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b/>
                <w:color w:val="000000"/>
                <w:sz w:val="24"/>
              </w:rPr>
              <w:t xml:space="preserve">Ghi chú</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gần khu vực tâm linh, có âm, sát khí (Nhà tang lễ, nghĩa trang, nhà xác…)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gần khu vực tâm linh, có âm, sát khí (Nhà tang lễ, nghĩa trang, nhà xác…) (50m &lt;= 150m)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gần khu vực tâm linh, có âm, sát khí (Nhà tang lễ, nghĩa trang, nhà xác…) (150m &lt;= 300m)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gần khu vực tâm linh, có âm, sát khí (Nhà tang lễ, nghĩa trang, nhà xác…) (300m &lt;= 500m)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gần khu vực tâm linh (Miếu thờ cúng tâm linh, đình, đền, chùa…)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gần khu vực tâm linh (Miếu thờ cúng tâm linh, đình, đền, chùa…) (30m &lt;= 100m)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từng là nghĩa trang, khu tâm linh cũ (đền, đình, chùa, miếu mạo…) đã được san lấp làm khu dân cư</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Trên đất/Công trình có mộ không thể hoặc rất khó có khả năng di chuyển (Mộ tổ chi, tộc, mộ cổ, mộ tâm linh gắn với miếu mạo được nhân dân thờ cúng)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Trên đất/ Công trình có mộ gia đình hoặc vô chủ có thể di chuyển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sát khu mộ phần hoặc liền kề mộ phần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Trên đất/ Công trình có điện thờ, nhà thợ họ dòng tộc</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sát hoặc liền kề nhà thờ họ</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gia tộc anh em, họ hàng sống xung quanh chung ngõ đi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Công trình có người tự sát/ án mạng/ tại nạn... bị ảnh hưởng truyền thông Nhẹ “Một vụ tự sát cá biệt không ồn ào, không truyền thông, trong nhà riêng, người Mua/Bán đông ít quan tâm: thị trường ít phản ứng, nếu có phản ứng chỉ là tâm lý tạm thời.”</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Công trình có người tự sát/án mạng/ tai nạn... bị ảnh hưởng truyền thông Trung bình “Một vụ tự sát được biết trong khu vực nhưng có ít lời đồn, nhưng có thể che dấu/ khắc phục nhanh (sơn sửa, thay nội thất: phổ biến ở căn hộ chung cư, nhà phố ảnh hưởn</w:t>
            </w:r>
            <w:r>
              <w:rPr>
                <w:rFonts w:ascii="Times New Roman" w:hAnsi="Times New Roman" w:eastAsia="Times New Roman" w:cs="Times New Roman"/>
                <w:color w:val="000000"/>
                <w:sz w:val="24"/>
              </w:rPr>
              <w:t xml:space="preserve">g của nó giảm theo thời gian”.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Công trình có người tự sát/án mạng/ tai nạn... bị ảnh hưởng truyền thông Mạnh “Vụ có yếu tố bạo lực, hoặc được đăng báo địa phương; khu dân cư tỏ ra e ngại; mua ở chịu ảnh hưởng. Mức này thường dùng khi có giao dịch thực tế cho thấy có sự kiện bị bán </w:t>
            </w:r>
            <w:r>
              <w:rPr>
                <w:rFonts w:ascii="Times New Roman" w:hAnsi="Times New Roman" w:eastAsia="Times New Roman" w:cs="Times New Roman"/>
                <w:color w:val="000000"/>
                <w:sz w:val="24"/>
              </w:rPr>
              <w:t xml:space="preserve">rẻ hơn”.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17</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Công trình có người tự sát/án mạng/ tai nạn... bị ảnh hưởng truyền thông Rất Mạnh “Vụ nổi tiếng, nhiều truyền thông, nhiều vụ tương tự tại cùng vị trí, hoặc địa điểm mang tính 'tăm tối' (ví dụ: nhiều vụ xảy ra liên tiếp hoặc lời đồn qua nhiều năm có m</w:t>
            </w:r>
            <w:r>
              <w:rPr>
                <w:rFonts w:ascii="Times New Roman" w:hAnsi="Times New Roman" w:eastAsia="Times New Roman" w:cs="Times New Roman"/>
                <w:color w:val="000000"/>
                <w:sz w:val="24"/>
              </w:rPr>
              <w:t xml:space="preserve">a, quỉ, hiện tượng tâm linh nhiều năm. Mức này dẫn tới tài sản rất khó bán thậm trí có thể loại trừ trong so sánh”.</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18</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gần hoặc liên kế cây xăng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19</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gần hoặc liên kế trạm thu phát sóng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20</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gần hoặc liên kế đường dây truyền tải điện cao thế 500 KV &lt;= 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21</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gần hoặc liên kế đường dây truyền tải điện 220 KV &lt;= 30m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22</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Mặt tiền bị che chắn (có cột điện, trạm biến áp…)</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23</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gần đường sắt&lt;=50m</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24</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Đường vào thẳng tắp như mũi tên đâm thẳng cửa chính “Thế tiễn khí”.</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25</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Đất nằm dưới chân cầu, đường dốc cao (Thế bị xung : Hổ phục, Long phục) xe lao xuống, gió tạt thẳng sát khí, không tụ.</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r>
        <w:trPr>
          <w:trHeight w:val="300"/>
        </w:trPr>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754"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center"/>
              <w:rPr/>
            </w:pPr>
            <w:r>
              <w:rPr>
                <w:rFonts w:ascii="Times New Roman" w:hAnsi="Times New Roman" w:eastAsia="Times New Roman" w:cs="Times New Roman"/>
                <w:color w:val="000000"/>
                <w:sz w:val="24"/>
              </w:rPr>
              <w:t xml:space="preserve">26</w:t>
            </w:r>
            <w:r/>
          </w:p>
        </w:tc>
        <w:tc>
          <w:tcPr>
            <w:tcBorders>
              <w:top w:val="single" w:color="000000" w:sz="8" w:space="0"/>
              <w:left w:val="single" w:color="000000" w:sz="8" w:space="0"/>
              <w:bottom w:val="single" w:color="000000" w:sz="8" w:space="0"/>
              <w:right w:val="single" w:color="000000" w:sz="8" w:space="0"/>
            </w:tcBorders>
            <w:tcMar>
              <w:left w:w="45" w:type="dxa"/>
              <w:top w:w="0" w:type="dxa"/>
              <w:right w:w="45" w:type="dxa"/>
              <w:bottom w:w="0" w:type="dxa"/>
            </w:tcMar>
            <w:tcW w:w="429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0"/>
              <w:jc w:val="both"/>
              <w:rPr/>
            </w:pPr>
            <w:r>
              <w:rPr>
                <w:rFonts w:ascii="Times New Roman" w:hAnsi="Times New Roman" w:eastAsia="Times New Roman" w:cs="Times New Roman"/>
                <w:color w:val="000000"/>
                <w:sz w:val="24"/>
              </w:rPr>
              <w:t xml:space="preserve">Giao lộ Chữ “T”, bị đường đâm thẳng vào “Thế tiền đao sát”.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jc w:val="center"/>
              <w:rPr/>
            </w:pPr>
            <w:r>
              <w:rPr>
                <w:rFonts w:ascii="Times New Roman" w:hAnsi="Times New Roman" w:eastAsia="Times New Roman" w:cs="Times New Roman"/>
                <w:color w:val="000000"/>
                <w:sz w:val="24"/>
              </w:rPr>
              <w:t xml:space="preserve">Không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395" w:type="dxa"/>
            <w:vAlign w:val="center"/>
            <w:textDirection w:val="lrTb"/>
            <w:noWrap w:val="false"/>
          </w:tcPr>
          <w:p>
            <w:pPr>
              <w:pBdr>
                <w:top w:val="none" w:color="000000" w:sz="4" w:space="0"/>
                <w:left w:val="none" w:color="000000" w:sz="4" w:space="0"/>
                <w:bottom w:val="none" w:color="000000" w:sz="4" w:space="0"/>
                <w:right w:val="none" w:color="000000" w:sz="4" w:space="0"/>
              </w:pBdr>
              <w:spacing w:line="233" w:lineRule="auto"/>
              <w:ind w:right="0" w:firstLine="0" w:left="144"/>
              <w:rPr/>
            </w:pPr>
            <w:r>
              <w:rPr>
                <w:rFonts w:ascii="Times New Roman" w:hAnsi="Times New Roman" w:eastAsia="Times New Roman" w:cs="Times New Roman"/>
                <w:color w:val="000000"/>
                <w:sz w:val="24"/>
              </w:rPr>
              <w:t xml:space="preserve"> </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240" w:line="276" w:lineRule="auto"/>
        <w:ind w:right="0" w:firstLine="0" w:left="0"/>
        <w:jc w:val="both"/>
        <w:rPr/>
      </w:pPr>
      <w:r>
        <w:rPr>
          <w:rFonts w:ascii="Times New Roman" w:hAnsi="Times New Roman" w:eastAsia="Times New Roman" w:cs="Times New Roman"/>
          <w:b/>
          <w:color w:val="000000"/>
          <w:sz w:val="24"/>
        </w:rPr>
        <w:t xml:space="preserve">V. CÁC GIẢ THIẾT VÀ GIẢ THIẾT ĐẶC BIỆT</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pacing w:val="-2"/>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pacing w:val="-2"/>
          <w:sz w:val="24"/>
        </w:rPr>
        <w:t xml:space="preserve"> trừ mọi trách nhiệm phát sinh, liên đới (nếu có) trong trường hợp này.</w:t>
      </w:r>
      <w:r/>
    </w:p>
    <w:p>
      <w:pPr>
        <w:numPr>
          <w:ilvl w:val="0"/>
          <w:numId w:val="46"/>
        </w:numPr>
        <w:pBdr>
          <w:top w:val="none" w:color="000000" w:sz="4" w:space="0"/>
          <w:left w:val="none" w:color="000000" w:sz="4" w:space="0"/>
          <w:bottom w:val="none" w:color="000000" w:sz="4" w:space="0"/>
          <w:right w:val="none" w:color="000000" w:sz="4" w:space="0"/>
        </w:pBdr>
        <w:spacing/>
        <w:ind/>
        <w:jc w:val="both"/>
        <w:rPr/>
      </w:pPr>
      <w:r>
        <w:rPr>
          <w:rFonts w:ascii="Times New Roman" w:hAnsi="Times New Roman" w:eastAsia="Times New Roman" w:cs="Times New Roman"/>
          <w:color w:val="000000"/>
          <w:sz w:val="24"/>
          <w:u w:val="none"/>
        </w:rPr>
        <w:t xml:space="preserve">Tại thời điểm khảo sát, dưới sự hướng dẫn của chủ tài sản, trên đất có CTXD 01 </w:t>
      </w:r>
      <w:r>
        <w:rPr>
          <w:rFonts w:ascii="Times New Roman" w:hAnsi="Times New Roman" w:eastAsia="Times New Roman" w:cs="Times New Roman"/>
          <w:color w:val="ff0000"/>
          <w:sz w:val="24"/>
          <w:u w:val="none"/>
        </w:rPr>
        <w:t xml:space="preserve">Nhà 02 tầng</w:t>
      </w:r>
      <w:r>
        <w:rPr>
          <w:rFonts w:ascii="Times New Roman" w:hAnsi="Times New Roman" w:eastAsia="Times New Roman" w:cs="Times New Roman"/>
          <w:color w:val="000000"/>
          <w:sz w:val="24"/>
          <w:u w:val="none"/>
        </w:rPr>
        <w:t xml:space="preserve">; và 02 nhà cấp 4. Công trình chưa được công nhận trên GCN QSDĐ số: R 461077. Đồng thời, Tổ thẩm định không nhận được bất kỳ hồ sơ pháp lý nào liên quan đến CTXD nêu trên. Do vậy, theo đề nghị của Ngân hàng/Khách hàng, Tổ thẩm định không xác định giá trị c</w:t>
      </w:r>
      <w:r>
        <w:rPr>
          <w:rFonts w:ascii="Times New Roman" w:hAnsi="Times New Roman" w:eastAsia="Times New Roman" w:cs="Times New Roman"/>
          <w:color w:val="000000"/>
          <w:sz w:val="24"/>
          <w:u w:val="none"/>
        </w:rPr>
        <w:t xml:space="preserve">ủa công trình xây dựng vào tổng giá trị, nhưng vẫn coi đó là phần không thể tách rời của tài sản thẩm định. Kính đề nghị đơn vị sử dụng kết quả lưu ý.</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Tại thời điểm khảo sát, dưới sự hướng dẫn của chủ tài sản, trên đất có CTXD Nhà 02 tầng + 1 tum, diện tích xây dựng khoảng 45,7m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diện tích sàn xây dựng khoảng 160m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xây dựng năm 2020. Công trình chưa được công nhận trên GCN QSDĐ số: X 399916. Tổ thẩm định thực hiện ước tính giá trị công trình xây dựng theo thực tế khảo sát được khách hàng hướng dẫn khảo sát và xác nhận. Việc ảnh hưởng của giá trị này (nếu có) do diệ</w:t>
      </w:r>
      <w:r>
        <w:rPr>
          <w:rFonts w:ascii="Times New Roman" w:hAnsi="Times New Roman" w:eastAsia="Times New Roman" w:cs="Times New Roman"/>
          <w:color w:val="000000"/>
          <w:sz w:val="24"/>
        </w:rPr>
        <w:t xml:space="preserve">n tích và hiện trạng của công trình xây dựng sai khác với hiện trạng, tổ thẩm định đã khảo sát và có sự xác nhận của khách hàng tại Biên bản khảo sát tài sản kèm theo chứng thư này nằm ngoài phạm vi trách nhiệm của chúng tôi. Khách hàng hoặc bên thứ ba khi</w:t>
      </w:r>
      <w:r>
        <w:rPr>
          <w:rFonts w:ascii="Times New Roman" w:hAnsi="Times New Roman" w:eastAsia="Times New Roman" w:cs="Times New Roman"/>
          <w:color w:val="000000"/>
          <w:sz w:val="24"/>
        </w:rPr>
        <w:t xml:space="preserve"> sử dụng chứng thư, báo cáo này cần lưu ý, cân nhắc thận trọng và chịu trách nhiệm hoàn toàn trước khi đưa ra quyết định cuối cùng.</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Tại thời điểm khảo sát, tổ thẩm định không được Khách hàng cung cấp các thông tin quy hoạch liên quan đến thửa đất, dựa trên định vị của tài sản sau khi khảo sát, tổ thẩm định kiểm tra quy hoạch online thông qua các trang mạng như Guland, Meeymap, xác định</w:t>
      </w:r>
      <w:r>
        <w:rPr>
          <w:rFonts w:ascii="Times New Roman" w:hAnsi="Times New Roman" w:eastAsia="Times New Roman" w:cs="Times New Roman"/>
          <w:color w:val="000000"/>
          <w:sz w:val="24"/>
        </w:rPr>
        <w:t xml:space="preserve"> vị trí tài sản thuộc quy hoạch đất ở. Tổ thẩm định giả định thửa đất phù hợp quy hoạch. Đề nghị Khách hàng sử dụng kết quả lưu ý kiểm tra xác minh thêm thông tin quy hoạch nếu thấy cần thiết. Trong trường hợp Khách hàng/Ngân hàng cung cấp được Văn bản xác</w:t>
      </w:r>
      <w:r>
        <w:rPr>
          <w:rFonts w:ascii="Times New Roman" w:hAnsi="Times New Roman" w:eastAsia="Times New Roman" w:cs="Times New Roman"/>
          <w:color w:val="000000"/>
          <w:sz w:val="24"/>
        </w:rPr>
        <w:t xml:space="preserve"> nhận rõ tình trạng quy hoạch thì kết quả thẩm định giá cần được xem xét, điều chỉnh phù hợp, đồng thời chúng tôi bảo lưu quyền xem xét lại kết quả thẩm định giá.</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color w:val="000000"/>
          <w:sz w:val="24"/>
        </w:rPr>
        <w:t xml:space="preserve">Giá trị tài sản thẩm định giá được ước tính dựa trên giả định không có bất kỳ yếu tố nào làm cản trở ảnh hưởng đến việc giao dịch bình thường của tài sản trên thị trường.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VI. CƠ SỞ GIÁ TRỊ THẨM ĐỊNH GIÁ</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b/>
          <w:color w:val="000000"/>
          <w:sz w:val="24"/>
        </w:rPr>
        <w:t xml:space="preserve">Giá trị thị trường:</w:t>
      </w:r>
      <w:r>
        <w:rPr>
          <w:rFonts w:ascii="Times New Roman" w:hAnsi="Times New Roman" w:eastAsia="Times New Roman" w:cs="Times New Roman"/>
          <w:color w:val="000000"/>
          <w:sz w:val="24"/>
        </w:rPr>
        <w:t xml:space="preserve"> Kết quả thẩm định giá trị tài sản được xác định dựa trên cơ sở giá trị thị trường tại thời điểm thẩm định theo Chuẩn mực thẩm định giá Việt Nam về Cơ sở giá trị thẩm định giá: </w:t>
      </w:r>
      <w:r>
        <w:rPr>
          <w:rFonts w:ascii="Times New Roman" w:hAnsi="Times New Roman" w:eastAsia="Times New Roman" w:cs="Times New Roman"/>
          <w:i/>
          <w:color w:val="000000"/>
          <w:sz w:val="24"/>
        </w:rPr>
        <w:t xml:space="preserve">“Giá trị thị trường là khoản tiền ước 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w:t>
      </w:r>
      <w:r>
        <w:rPr>
          <w:rFonts w:ascii="Times New Roman" w:hAnsi="Times New Roman" w:eastAsia="Times New Roman" w:cs="Times New Roman"/>
          <w:i/>
          <w:color w:val="000000"/>
          <w:sz w:val="24"/>
        </w:rPr>
        <w:t xml:space="preserve">u biết, thận trọng và không bị ép buộc”</w:t>
      </w: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 CÁCH TIẾP CẬN, PHƯƠNG PHÁP THẨM ĐỊNH GIÁ</w:t>
      </w:r>
      <w:r/>
    </w:p>
    <w:p>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Cách tiếp cận và phương pháp thẩm định:</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Cách tiếp cận từ thị trường: </w:t>
      </w:r>
      <w:r>
        <w:rPr>
          <w:rFonts w:ascii="Times New Roman" w:hAnsi="Times New Roman" w:eastAsia="Times New Roman" w:cs="Times New Roman"/>
          <w:color w:val="000000"/>
          <w:sz w:val="24"/>
        </w:rPr>
        <w:t xml:space="preserve">Xác định giá trị của tài sản thẩm định giá thông qua việc so sánh tài sản thẩm định giá với các tài sản so sánh đã có các thông tin về giá trên thị trường.</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i/>
          <w:color w:val="000000"/>
          <w:sz w:val="24"/>
        </w:rPr>
        <w:t xml:space="preserve">Phương pháp so sánh:</w:t>
      </w:r>
      <w:r>
        <w:rPr>
          <w:rFonts w:ascii="Times New Roman" w:hAnsi="Times New Roman" w:eastAsia="Times New Roman" w:cs="Times New Roman"/>
          <w:color w:val="000000"/>
          <w:sz w:val="24"/>
        </w:rPr>
        <w:t xml:space="preserve"> Xác định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w:t>
      </w:r>
      <w:r>
        <w:rPr>
          <w:rFonts w:ascii="Times New Roman" w:hAnsi="Times New Roman" w:eastAsia="Times New Roman" w:cs="Times New Roman"/>
          <w:color w:val="000000"/>
          <w:sz w:val="24"/>
        </w:rPr>
        <w:t xml:space="preserve">nh giá.</w:t>
      </w:r>
      <w:r/>
    </w:p>
    <w:p>
      <w:pPr>
        <w:numPr>
          <w:ilvl w:val="0"/>
          <w:numId w:val="46"/>
        </w:numPr>
        <w:pBdr>
          <w:top w:val="none" w:color="000000" w:sz="4" w:space="0"/>
          <w:left w:val="none" w:color="000000" w:sz="4" w:space="0"/>
          <w:bottom w:val="none" w:color="000000" w:sz="4" w:space="0"/>
          <w:right w:val="none" w:color="000000" w:sz="4" w:space="0"/>
        </w:pBdr>
        <w:spacing w:after="60" w:before="60" w:line="276" w:lineRule="auto"/>
        <w:ind/>
        <w:jc w:val="both"/>
        <w:rPr/>
      </w:pPr>
      <w:r>
        <w:rPr>
          <w:rFonts w:ascii="Times New Roman" w:hAnsi="Times New Roman" w:eastAsia="Times New Roman" w:cs="Times New Roman"/>
          <w:i/>
          <w:color w:val="000000"/>
          <w:sz w:val="24"/>
        </w:rPr>
        <w:t xml:space="preserve">Cách tiếp cận từ chi phí: </w:t>
      </w:r>
      <w:r>
        <w:rPr>
          <w:rFonts w:ascii="Times New Roman" w:hAnsi="Times New Roman" w:eastAsia="Times New Roman" w:cs="Times New Roman"/>
          <w:color w:val="000000"/>
          <w:sz w:val="24"/>
        </w:rPr>
        <w:t xml:space="preserve">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64" w:lineRule="auto"/>
        <w:ind/>
        <w:jc w:val="both"/>
        <w:rPr/>
      </w:pPr>
      <w:r>
        <w:rPr>
          <w:rFonts w:ascii="Times New Roman" w:hAnsi="Times New Roman" w:eastAsia="Times New Roman" w:cs="Times New Roman"/>
          <w:i/>
          <w:color w:val="000000"/>
          <w:sz w:val="24"/>
        </w:rPr>
        <w:t xml:space="preserve">Phương pháp chi phí thay thế:</w:t>
      </w:r>
      <w:r>
        <w:rPr>
          <w:rFonts w:ascii="Times New Roman" w:hAnsi="Times New Roman" w:eastAsia="Times New Roman" w:cs="Times New Roman"/>
          <w:color w:val="000000"/>
          <w:sz w:val="24"/>
        </w:rPr>
        <w:t xml:space="preserve"> Là phương pháp thẩm 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w:t>
      </w:r>
      <w:r>
        <w:rPr>
          <w:rFonts w:ascii="Times New Roman" w:hAnsi="Times New Roman" w:eastAsia="Times New Roman" w:cs="Times New Roman"/>
          <w:color w:val="000000"/>
          <w:sz w:val="24"/>
        </w:rPr>
        <w:t xml:space="preserve">tài sản thẩm định giá</w:t>
      </w:r>
      <w:r>
        <w:rPr>
          <w:rFonts w:ascii="Times New Roman" w:hAnsi="Times New Roman" w:eastAsia="Times New Roman" w:cs="Times New Roman"/>
          <w:color w:val="000000"/>
          <w:spacing w:val="-2"/>
          <w:sz w:val="24"/>
        </w:rPr>
        <w:t xml:space="preserve">.</w:t>
      </w:r>
      <w:r/>
    </w:p>
    <w:p>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cách tiếp cận và phương pháp đối với tài sản thẩm định giá:</w:t>
      </w:r>
      <w:r/>
    </w:p>
    <w:p>
      <w:pPr>
        <w:numPr>
          <w:ilvl w:val="0"/>
          <w:numId w:val="46"/>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 giá trị quyền sử dụng</w:t>
      </w:r>
      <w:r>
        <w:rPr>
          <w:rFonts w:ascii="Times New Roman" w:hAnsi="Times New Roman" w:eastAsia="Times New Roman" w:cs="Times New Roman"/>
          <w:color w:val="000000"/>
          <w:spacing w:val="-4"/>
          <w:sz w:val="24"/>
        </w:rPr>
        <w:t xml:space="preserve"> đất của tài sản thẩm định giá.</w:t>
      </w:r>
      <w:r/>
    </w:p>
    <w:p>
      <w:pPr>
        <w:numPr>
          <w:ilvl w:val="0"/>
          <w:numId w:val="46"/>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pacing w:val="-4"/>
          <w:sz w:val="24"/>
        </w:rPr>
        <w:t xml:space="preserve">Đối với công trình xây dựng gắn liền trên đất, tại thời điểm thẩm định giá, qua thu thập thông tin từ thị trường, Tổ thẩm định nhận thấy thị trường hầu như không phát sinh các giao dịch các công trình xây dựng tương tự tài sản thẩm định. Vì vậy, do hạn chế</w:t>
      </w:r>
      <w:r>
        <w:rPr>
          <w:rFonts w:ascii="Times New Roman" w:hAnsi="Times New Roman" w:eastAsia="Times New Roman" w:cs="Times New Roman"/>
          <w:color w:val="000000"/>
          <w:spacing w:val="-4"/>
          <w:sz w:val="24"/>
        </w:rPr>
        <w:t xml:space="preserve"> về mặt thu thập thông tin, Tổ thẩm định chưa có cơ sở tính toán giá trị các công trình xây dựng dựa trên phương pháp so sánh. Ngoài ra, Tổ thẩm định cũng không được cung cấp thông tin hay có đủ dữ liệu để đánh giá theo cách tiếp cận từ thu nhập. Do vậy, T</w:t>
      </w:r>
      <w:r>
        <w:rPr>
          <w:rFonts w:ascii="Times New Roman" w:hAnsi="Times New Roman" w:eastAsia="Times New Roman" w:cs="Times New Roman"/>
          <w:color w:val="000000"/>
          <w:spacing w:val="-4"/>
          <w:sz w:val="24"/>
        </w:rPr>
        <w:t xml:space="preserve">ổ thẩm định sử dụng cách tiếp cận từ chi phí (phương pháp chi phí thay thế) để xác định giá trị công trình gắn liền trên đất của tài sản so sánh và tài sản thẩm định</w:t>
      </w:r>
      <w:r>
        <w:rPr>
          <w:rFonts w:ascii="Times New Roman" w:hAnsi="Times New Roman" w:eastAsia="Times New Roman" w:cs="Times New Roman"/>
          <w:color w:val="000000"/>
          <w:spacing w:val="-2"/>
          <w:sz w:val="24"/>
        </w:rPr>
        <w:t xml:space="preserve">.</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b/>
          <w:color w:val="000000"/>
          <w:sz w:val="24"/>
        </w:rPr>
        <w:t xml:space="preserve">VIII. GIÁ TRỊ TÀI SẢN THẨM ĐỊNH</w:t>
      </w:r>
      <w:r/>
    </w:p>
    <w:p>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quyền sử dụng đất Tài sản 01:</w:t>
      </w:r>
      <w:r/>
    </w:p>
    <w:p>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pPr>
        <w:numPr>
          <w:ilvl w:val="0"/>
          <w:numId w:val="47"/>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04"/>
        <w:gridCol w:w="1843"/>
        <w:gridCol w:w="1742"/>
        <w:gridCol w:w="1742"/>
        <w:gridCol w:w="1742"/>
        <w:gridCol w:w="1742"/>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958"/>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Võ Cường, Tỉnh Bắc Ninh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Võ Cường, Tỉnh Bắc Ninh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Võ Cường, Tỉnh Bắc Ninh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Phường Võ Cường, Tỉnh Bắc Ninh</w:t>
            </w:r>
            <w:r/>
          </w:p>
        </w:tc>
      </w:tr>
      <w:tr>
        <w:trPr>
          <w:trHeight w:val="539"/>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0928.776268 </w:t>
              <w:br/>
              <w:t xml:space="preserve"> (Sale)</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0972.531838</w:t>
              <w:br/>
              <w:t xml:space="preserve"> (Nguyễn Chiều)</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0815.693.999</w:t>
              <w:br/>
              <w:t xml:space="preserve"> (A Được)</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9/2026</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9/2026</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9/2026</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2,8m, mặt tiền 13,23m,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2,5m, mặt tiền 5m,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4m, mặt tiền 4,8m,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3,5m, mặt tiền 4,72m,</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88,0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50,5</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4,8</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4,72</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Nở hậu</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CTXD trên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2.800.000.000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2.380.000.000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1.530.000.000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2.380.000.000</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2.380.000.000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1.530.000.000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2.380.000.000</w:t>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27.045.455</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30.297.030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34.000.000</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numPr>
          <w:ilvl w:val="0"/>
          <w:numId w:val="47"/>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1765"/>
        <w:gridCol w:w="1030"/>
        <w:gridCol w:w="1522"/>
        <w:gridCol w:w="1522"/>
        <w:gridCol w:w="1522"/>
        <w:gridCol w:w="152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2.380.000.000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1.530.000.000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2.380.000.000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27.045.455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30.297.030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25.454.545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28.514.851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2,8m, mặt tiền 13,23m,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2,5m, mặt tiền 5m,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4m, mặt tiền 4,8m,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3,5m, mặt tiền 4,72m,</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25.454.545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28.514.851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25.454.545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28.514.851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-1.272.727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-3.421.782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-3.200.000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24.181.818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25.093.069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28.800.000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-1.527.273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-2.851.485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-2.560.000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22.654.545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22.241.584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26.240.000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4,72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2.036.364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2.566.337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2.880.000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24.690.909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24.807.921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29.120.000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24.690.909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24.807.921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29.120.000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Nở hậu</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509.091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-1.600.000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25.200.000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24.807.921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27.520.000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26.790.910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26.590.100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29.520.000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27.633.670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-3,78%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6,83%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5.345.455</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8.839.604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10.240.000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254.545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3.706.930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4.480.000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z w:val="24"/>
          <w:u w:val="single"/>
        </w:rPr>
        <w:t xml:space="preserve"> </w:t>
      </w: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-3,78% đến 6,83%,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104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05"/>
        <w:gridCol w:w="1905"/>
        <w:gridCol w:w="1905"/>
        <w:gridCol w:w="1905"/>
        <w:gridCol w:w="1905"/>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26.790.910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8.932.089</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26.590.100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8.862.480</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29.520.000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9.839.016</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27.633.585</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26.000.000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26.000.000 đồng/m².</w:t>
      </w:r>
      <w:r/>
    </w:p>
    <w:p>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đơn giá quyền sử dụng đất Tài sản 02:</w:t>
      </w:r>
      <w:r/>
    </w:p>
    <w:p>
      <w:pPr>
        <w:pBdr>
          <w:top w:val="none" w:color="000000" w:sz="4" w:space="0"/>
          <w:left w:val="none" w:color="000000" w:sz="4" w:space="0"/>
          <w:bottom w:val="none" w:color="000000" w:sz="4" w:space="0"/>
          <w:right w:val="none" w:color="000000" w:sz="4" w:space="0"/>
        </w:pBdr>
        <w:spacing w:after="120" w:before="120" w:line="276" w:lineRule="auto"/>
        <w:ind w:right="0" w:firstLine="357" w:left="0"/>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p>
    <w:p>
      <w:pPr>
        <w:numPr>
          <w:ilvl w:val="0"/>
          <w:numId w:val="47"/>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Thông tin tài sản so sánh:</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134"/>
        <w:gridCol w:w="1134"/>
        <w:gridCol w:w="1134"/>
        <w:gridCol w:w="1134"/>
        <w:gridCol w:w="1134"/>
        <w:gridCol w:w="1134"/>
        <w:gridCol w:w="1134"/>
      </w:tblGrid>
      <w:tr>
        <w:trPr>
          <w:trHeight w:val="30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843"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top"/>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165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Khu Dương Ổ, phường Yên Phong, Bắc Ninh </w:t>
            </w:r>
            <w:r>
              <w:rPr>
                <w:rFonts w:ascii="Times New Roman" w:hAnsi="Times New Roman" w:eastAsia="Times New Roman" w:cs="Times New Roman"/>
                <w:i/>
                <w:color w:val="000000"/>
                <w:sz w:val="22"/>
              </w:rPr>
              <w:t xml:space="preserve">(nay là: phường Võ Cường, Bắc Ninh)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Khu Dương Ổ, phường Yên Phong, Bắc Ninh </w:t>
            </w:r>
            <w:r>
              <w:rPr>
                <w:rFonts w:ascii="Times New Roman" w:hAnsi="Times New Roman" w:eastAsia="Times New Roman" w:cs="Times New Roman"/>
                <w:i/>
                <w:color w:val="000000"/>
                <w:sz w:val="22"/>
              </w:rPr>
              <w:t xml:space="preserve">(nay là: phường Võ Cường, Bắc Ninh)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Khu Dương Ổ, phường Yên Phong, Bắc Ninh </w:t>
            </w:r>
            <w:r>
              <w:rPr>
                <w:rFonts w:ascii="Times New Roman" w:hAnsi="Times New Roman" w:eastAsia="Times New Roman" w:cs="Times New Roman"/>
                <w:i/>
                <w:color w:val="000000"/>
                <w:sz w:val="22"/>
              </w:rPr>
              <w:t xml:space="preserve">(nay là: phường Võ Cường, Bắc Ninh)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Khu Dương Ổ, phường Yên Phong, Bắc Ninh </w:t>
            </w:r>
            <w:r>
              <w:rPr>
                <w:rFonts w:ascii="Times New Roman" w:hAnsi="Times New Roman" w:eastAsia="Times New Roman" w:cs="Times New Roman"/>
                <w:i/>
                <w:color w:val="000000"/>
                <w:sz w:val="22"/>
              </w:rPr>
              <w:t xml:space="preserve">(nay là: phường Võ Cường, Bắc Ninh)</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28"/>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0928.776268 </w:t>
              <w:br/>
              <w:t xml:space="preserve"> (Sale)</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0972.531838</w:t>
              <w:br/>
              <w:t xml:space="preserve"> (Nguyễn Chiều)</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SĐT: 0815.693.999</w:t>
              <w:br/>
              <w:t xml:space="preserve"> (A Được)</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09/2026</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09/2026</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09/2026</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2,8m, mặt tiền 13,23m,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2,5m, mặt tiền 5m,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4m, mặt tiền 4,8m,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3,5m, mặt tiền 4,72m,</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bê tông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2,8</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3,5</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102,0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88,0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50,5</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13,2</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4,8</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4,72</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Hình chữ nhật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Nở hậu</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CTXD trên đất</w:t>
            </w:r>
            <w:r/>
          </w:p>
        </w:tc>
        <w:tc>
          <w:tcPr>
            <w:tcBorders>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2.800.000.000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1.800.000.000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2.800.000.000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2.380.000.000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1.530.000.000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2.380.000.000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2.380.000.000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1.530.000.000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2.380.000.000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552"/>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27.045.455</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30.297.030</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34.000.000</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trước tài sản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Chiều sâu (m)</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r>
        <w:trPr>
          <w:trHeight w:val="276"/>
        </w:trPr>
        <w:tc>
          <w:tcPr>
            <w:tcBorders>
              <w:left w:val="single" w:color="000000" w:sz="8" w:space="0"/>
              <w:bottom w:val="single" w:color="000000" w:sz="8" w:space="0"/>
              <w:right w:val="single" w:color="000000" w:sz="8" w:space="0"/>
            </w:tcBorders>
            <w:tcMar>
              <w:left w:w="108" w:type="dxa"/>
              <w:top w:w="0" w:type="dxa"/>
              <w:right w:w="108" w:type="dxa"/>
              <w:bottom w:w="0" w:type="dxa"/>
            </w:tcMar>
            <w:tcW w:w="704"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843"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tcMar>
              <w:left w:w="0" w:type="dxa"/>
              <w:top w:w="0" w:type="dxa"/>
              <w:right w:w="0" w:type="dxa"/>
              <w:bottom w:w="0" w:type="dxa"/>
            </w:tcMar>
            <w:tcW w:w="0"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Các yếu tố như vị trí, giao thông, diện tích, hình dáng, hạ tầng kỹ thuật và hạ tầng xã hội… làm ảnh hưởng đến giá trị của thửa đất. Mỗi yếu tố đóng góp một tỷ lệ nhất định vào giá trị của thửa đất. Vì vậy, dựa trên ba tài sản so sánh tương đồng với tài sả</w:t>
      </w:r>
      <w:r>
        <w:rPr>
          <w:rFonts w:ascii="Times New Roman" w:hAnsi="Times New Roman" w:eastAsia="Times New Roman" w:cs="Times New Roman"/>
          <w:color w:val="000000"/>
          <w:sz w:val="24"/>
        </w:rPr>
        <w:t xml:space="preserve">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p>
    <w:p>
      <w:pPr>
        <w:pBdr>
          <w:top w:val="none" w:color="000000" w:sz="4" w:space="0"/>
          <w:left w:val="none" w:color="000000" w:sz="4" w:space="0"/>
          <w:bottom w:val="none" w:color="000000" w:sz="4" w:space="0"/>
          <w:right w:val="none" w:color="000000" w:sz="4" w:space="0"/>
        </w:pBdr>
        <w:tabs>
          <w:tab w:val="left" w:leader="none" w:pos="90"/>
          <w:tab w:val="left" w:leader="none" w:pos="180"/>
        </w:tabs>
        <w:spacing w:after="120" w:before="120" w:line="264" w:lineRule="auto"/>
        <w:ind w:right="0" w:firstLine="0" w:left="0"/>
        <w:jc w:val="both"/>
        <w:rPr/>
      </w:pPr>
      <w:r>
        <w:rPr>
          <w:rFonts w:ascii="Times New Roman" w:hAnsi="Times New Roman" w:eastAsia="Times New Roman" w:cs="Times New Roman"/>
          <w:color w:val="000000"/>
          <w:sz w:val="24"/>
        </w:rPr>
        <w:t xml:space="preserve">Nguyên tắc điều chỉnh: Cố định TSTĐ, lấy TSTĐ làm chuẩn (tương đương với tỷ lệ tuyệt đối là 100%), các TSSS được điều chỉnh xoay quanh TSTĐ; Các điểm ở TSSS vượt trội hơn so với TSTĐ thì điều chỉnh giảm mức giá tính theo đơn vị chuẩn tài sản so sánh (trừ);</w:t>
      </w:r>
      <w:r>
        <w:rPr>
          <w:rFonts w:ascii="Times New Roman" w:hAnsi="Times New Roman" w:eastAsia="Times New Roman" w:cs="Times New Roman"/>
          <w:color w:val="000000"/>
          <w:sz w:val="24"/>
        </w:rPr>
        <w:t xml:space="preserve"> Các điểm ở TSSS kém lợi thế hơn so với TSTĐ thì điều chỉnh tăng mức giá tính theo đơn vị chuẩn của tài sản so sánh (cộng); Những yếu tố ở tài sản so sánh giống (tương tự) với tài sản cần thẩm định giá thì giữ nguyên mức giá của tài sản so sánh (không điều</w:t>
      </w:r>
      <w:r>
        <w:rPr>
          <w:rFonts w:ascii="Times New Roman" w:hAnsi="Times New Roman" w:eastAsia="Times New Roman" w:cs="Times New Roman"/>
          <w:color w:val="000000"/>
          <w:sz w:val="24"/>
        </w:rPr>
        <w:t xml:space="preserve"> chỉnh).</w:t>
      </w:r>
      <w:r/>
    </w:p>
    <w:p>
      <w:pPr>
        <w:numPr>
          <w:ilvl w:val="0"/>
          <w:numId w:val="47"/>
        </w:numPr>
        <w:pBdr>
          <w:top w:val="none" w:color="000000" w:sz="4" w:space="0"/>
          <w:left w:val="none" w:color="000000" w:sz="4" w:space="0"/>
          <w:bottom w:val="none" w:color="000000" w:sz="4" w:space="0"/>
          <w:right w:val="none" w:color="000000" w:sz="4" w:space="0"/>
        </w:pBdr>
        <w:tabs>
          <w:tab w:val="left" w:leader="none" w:pos="720"/>
        </w:tabs>
        <w:spacing w:after="120" w:before="120" w:line="276" w:lineRule="auto"/>
        <w:ind/>
        <w:jc w:val="both"/>
        <w:rPr/>
      </w:pPr>
      <w:r>
        <w:rPr>
          <w:rFonts w:ascii="Times New Roman" w:hAnsi="Times New Roman" w:eastAsia="Times New Roman" w:cs="Times New Roman"/>
          <w:b/>
          <w:color w:val="000000"/>
          <w:sz w:val="24"/>
        </w:rPr>
        <w:t xml:space="preserve">Bảng điều chỉnh</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1765"/>
        <w:gridCol w:w="1030"/>
        <w:gridCol w:w="1522"/>
        <w:gridCol w:w="1522"/>
        <w:gridCol w:w="1522"/>
        <w:gridCol w:w="1522"/>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2.380.000.000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1.530.000.000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2.380.000.000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27.045.455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30.297.030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28.636.364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32.079.208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2,8m, mặt tiền 13,23m,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2,5m, mặt tiền 5m,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4m, mặt tiền 4,8m,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3,5m, mặt tiền 4,72m,</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28.636.364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28.514.851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28.636.364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28.514.851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trước tài sản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-2.281.188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-1.600.000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28.636.364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26.233.663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30.400.000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88,0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-572.727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-2.281.188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-1.920.000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28.063.637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23.952.475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28.480.000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4,72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859.091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1.015.842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1.080.000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28.922.728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24.968.317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29.560.000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28.922.728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24.968.317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29.560.000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Hình chữ nhật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Nở hậu</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-570.297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-960.000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28.922.728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24.398.020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28.600.000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27.331.819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26.180.199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30.600.000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56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28.037.339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-2,52%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-6,62%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9,14%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1.431.818</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6.148.515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5.560.000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6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30"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286.364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4.116.831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3.400.000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z w:val="24"/>
          <w:u w:val="single"/>
        </w:rPr>
        <w:t xml:space="preserve"> </w:t>
      </w:r>
      <w:r>
        <w:rPr>
          <w:rFonts w:ascii="Times New Roman" w:hAnsi="Times New Roman" w:eastAsia="Times New Roman" w:cs="Times New Roman"/>
          <w:b/>
          <w:i/>
          <w:color w:val="000000"/>
          <w:sz w:val="24"/>
          <w:u w:val="single"/>
        </w:rPr>
        <w:t xml:space="preserve">Về nguyên tắc khống chế</w:t>
      </w:r>
      <w:r>
        <w:rPr>
          <w:rFonts w:ascii="Times New Roman" w:hAnsi="Times New Roman" w:eastAsia="Times New Roman" w:cs="Times New Roman"/>
          <w:b/>
          <w:i/>
          <w:color w:val="000000"/>
          <w:sz w:val="24"/>
        </w:rPr>
        <w:t xml:space="preserve">: </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-6,62% đến 9,14%, đảm bảo không quá 15% (theo Thông tư số 32/2024/TT-BTC ngày 16/5/2024 của Bộ Tài chính).</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i/>
          <w:color w:val="000000"/>
          <w:sz w:val="24"/>
          <w:u w:val="single"/>
        </w:rPr>
        <w:t xml:space="preserve">Về thống nhất mức giá chỉ dẫn:</w:t>
      </w:r>
      <w:r/>
    </w:p>
    <w:p>
      <w:pPr>
        <w:pBdr>
          <w:top w:val="none" w:color="000000" w:sz="4" w:space="0"/>
          <w:left w:val="none" w:color="000000" w:sz="4" w:space="0"/>
          <w:bottom w:val="none" w:color="000000" w:sz="4" w:space="0"/>
          <w:right w:val="none" w:color="000000" w:sz="4" w:space="0"/>
        </w:pBdr>
        <w:spacing/>
        <w:ind w:right="0" w:firstLine="0" w:left="0"/>
        <w:jc w:val="right"/>
        <w:rPr/>
      </w:pPr>
      <w:r>
        <w:rPr>
          <w:rFonts w:ascii="Times New Roman" w:hAnsi="Times New Roman" w:eastAsia="Times New Roman" w:cs="Times New Roman"/>
          <w:i/>
          <w:color w:val="000000"/>
          <w:sz w:val="24"/>
        </w:rPr>
        <w:t xml:space="preserve">Đơn vị tính: Đồng/m²</w:t>
      </w:r>
      <w:r/>
    </w:p>
    <w:tbl>
      <w:tblPr>
        <w:tblStyle w:val="104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05"/>
        <w:gridCol w:w="1905"/>
        <w:gridCol w:w="1905"/>
        <w:gridCol w:w="1905"/>
        <w:gridCol w:w="1905"/>
      </w:tblGrid>
      <w:tr>
        <w:trPr>
          <w:trHeight w:val="936"/>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Tài sản</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Mức giá chỉ dẫn của các TSSS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Trọng số của các TSSS sau điều chỉnh</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trung bình của mức giá chỉ dẫn sau điều chỉnh</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1</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27.331.819</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33,34%</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9.112.428</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2</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26.180.199</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8.725.860</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so sánh 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30.600.000</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33,33%</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10.198.980</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Giá trị bình quân theo trọng số:</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28.037.268</w:t>
            </w:r>
            <w:r/>
          </w:p>
        </w:tc>
      </w:tr>
      <w:tr>
        <w:trPr>
          <w:trHeight w:val="312"/>
        </w:trPr>
        <w:tc>
          <w:tcPr>
            <w:gridSpan w:val="4"/>
            <w:tcBorders>
              <w:left w:val="single" w:color="000000" w:sz="8" w:space="0"/>
              <w:bottom w:val="single" w:color="000000" w:sz="8" w:space="0"/>
              <w:right w:val="single" w:color="000000" w:sz="8" w:space="0"/>
            </w:tcBorders>
            <w:tcMar>
              <w:left w:w="108" w:type="dxa"/>
              <w:top w:w="0" w:type="dxa"/>
              <w:right w:w="108" w:type="dxa"/>
              <w:bottom w:w="0" w:type="dxa"/>
            </w:tcMar>
            <w:tcW w:w="762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90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28.000.000</w:t>
            </w: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 xml:space="preserve">Tổ thẩm định sử dụng mức giá chỉ dẫn là mức giá bình quân có trọng số của 03 tài sản so sánh làm mức giá của tài sản thẩm định, tương ứng là: </w:t>
      </w:r>
      <w:r>
        <w:rPr>
          <w:rFonts w:ascii="Times New Roman" w:hAnsi="Times New Roman" w:eastAsia="Times New Roman" w:cs="Times New Roman"/>
          <w:b/>
          <w:color w:val="000000"/>
          <w:sz w:val="24"/>
        </w:rPr>
        <w:t xml:space="preserve">28.000.000 đồng/m².</w:t>
      </w:r>
      <w:r/>
    </w:p>
    <w:p>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Xác định giá trị tham khảo đối với 01 CTXD Nhà 02 tầng + 1 tum trên thửa đất có GCN QSDĐ số: X 399916</w:t>
      </w:r>
      <w:r/>
    </w:p>
    <w:p>
      <w:pPr>
        <w:pBdr>
          <w:top w:val="none" w:color="000000" w:sz="4" w:space="0"/>
          <w:left w:val="none" w:color="000000" w:sz="4" w:space="0"/>
          <w:bottom w:val="none" w:color="000000" w:sz="4" w:space="0"/>
          <w:right w:val="none" w:color="000000" w:sz="4" w:space="0"/>
        </w:pBdr>
        <w:spacing w:before="52"/>
        <w:ind w:right="0" w:firstLine="357" w:left="0"/>
        <w:jc w:val="both"/>
        <w:rPr/>
      </w:pPr>
      <w:r>
        <w:rPr>
          <w:rFonts w:ascii="Times New Roman" w:hAnsi="Times New Roman" w:eastAsia="Times New Roman" w:cs="Times New Roman"/>
          <w:color w:val="000000"/>
          <w:sz w:val="24"/>
        </w:rPr>
        <w:t xml:space="preserve">Qua</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tham</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khảo</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thị</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trường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về</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đơn</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giá</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mới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đối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với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trình</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nhà</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riêng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lẻ, cân nhắc và xem xét với mức độ hoàn thiện của công trình xây dựng hiện có, Tổ thẩm định nhận thấy đơn giá vận dụng theo Quyết định số 425/QĐ-BXD ngày 30 tháng 3 năm 2026 của Bộ Xây</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về</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việc</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công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bố</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suất</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vốn</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đầu</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tư</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và</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giá</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xây</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dựng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tổng</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hợp</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bộ</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phận</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kết</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cấu</w:t>
      </w:r>
      <w:r>
        <w:rPr>
          <w:rFonts w:ascii="Times New Roman" w:hAnsi="Times New Roman" w:eastAsia="Times New Roman" w:cs="Times New Roman"/>
          <w:color w:val="000000"/>
          <w:spacing w:val="-6"/>
          <w:sz w:val="24"/>
        </w:rPr>
        <w:t xml:space="preserve"> </w:t>
      </w:r>
      <w:r>
        <w:rPr>
          <w:rFonts w:ascii="Times New Roman" w:hAnsi="Times New Roman" w:eastAsia="Times New Roman" w:cs="Times New Roman"/>
          <w:color w:val="000000"/>
          <w:sz w:val="24"/>
        </w:rPr>
        <w:t xml:space="preserve">công trình năm 2025 là khá phù hợp với thị trường, theo đó:</w:t>
      </w:r>
      <w:r/>
    </w:p>
    <w:p>
      <w:pPr>
        <w:pBdr>
          <w:top w:val="none" w:color="000000" w:sz="4" w:space="0"/>
          <w:left w:val="none" w:color="000000" w:sz="4" w:space="0"/>
          <w:bottom w:val="none" w:color="000000" w:sz="4" w:space="0"/>
          <w:right w:val="none" w:color="000000" w:sz="4" w:space="0"/>
        </w:pBdr>
        <w:spacing w:before="60"/>
        <w:ind w:right="0" w:firstLine="425" w:left="0"/>
        <w:rPr/>
      </w:pPr>
      <w:r>
        <w:rPr>
          <w:rFonts w:ascii="Times New Roman" w:hAnsi="Times New Roman" w:eastAsia="Times New Roman" w:cs="Times New Roman"/>
          <w:b/>
          <w:i/>
          <w:color w:val="000000"/>
          <w:sz w:val="24"/>
        </w:rPr>
        <w:t xml:space="preserve">Đối với nhà 03 tầng:</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i/>
          <w:color w:val="000000"/>
          <w:sz w:val="24"/>
        </w:rPr>
        <w:t xml:space="preserve">Nhà từ 2 đến 3 tầng, kết cấu khung chịu lực BTCT; tường bao xây gạch; sàn, mái BTCT đổ tại chỗ không có tầng hầm là 8.370.000 đồng/m² sàn, hệ số vùng 2 – Thành phố Hà Nội là 0,948, tương đương đơn giá</w:t>
      </w:r>
      <w:r>
        <w:rPr>
          <w:rFonts w:ascii="Times New Roman" w:hAnsi="Times New Roman" w:eastAsia="Times New Roman" w:cs="Times New Roman"/>
          <w:b/>
          <w:i/>
          <w:color w:val="000000"/>
          <w:sz w:val="24"/>
        </w:rPr>
        <w:t xml:space="preserve">: 7.934.760 đồng/m</w:t>
      </w:r>
      <w:r>
        <w:rPr>
          <w:rFonts w:ascii="Times New Roman" w:hAnsi="Times New Roman" w:eastAsia="Times New Roman" w:cs="Times New Roman"/>
          <w:b/>
          <w:i/>
          <w:color w:val="000000"/>
          <w:sz w:val="20"/>
          <w:vertAlign w:val="superscript"/>
        </w:rPr>
        <w:t xml:space="preserve">2</w:t>
      </w:r>
      <w:r/>
    </w:p>
    <w:p>
      <w:pPr>
        <w:pStyle w:val="1026"/>
        <w:numPr>
          <w:ilvl w:val="0"/>
          <w:numId w:val="43"/>
        </w:numPr>
        <w:pBdr>
          <w:top w:val="none" w:color="000000" w:sz="4" w:space="0"/>
          <w:left w:val="none" w:color="000000" w:sz="4" w:space="0"/>
          <w:bottom w:val="none" w:color="000000" w:sz="4" w:space="0"/>
          <w:right w:val="none" w:color="000000" w:sz="4" w:space="0"/>
        </w:pBdr>
        <w:tabs>
          <w:tab w:val="left" w:leader="none" w:pos="1619"/>
        </w:tabs>
        <w:spacing w:after="0" w:before="25"/>
        <w:ind/>
        <w:rPr/>
      </w:pPr>
      <w:r>
        <w:rPr>
          <w:rFonts w:ascii="Times New Roman" w:hAnsi="Times New Roman" w:eastAsia="Times New Roman" w:cs="Times New Roman"/>
          <w:b/>
          <w:color w:val="000000"/>
          <w:sz w:val="24"/>
        </w:rPr>
        <w:t xml:space="preserve">Xác</w:t>
      </w:r>
      <w:r>
        <w:rPr>
          <w:rFonts w:ascii="Times New Roman" w:hAnsi="Times New Roman" w:eastAsia="Times New Roman" w:cs="Times New Roman"/>
          <w:b/>
          <w:color w:val="000000"/>
          <w:spacing w:val="-2"/>
          <w:sz w:val="24"/>
        </w:rPr>
        <w:t xml:space="preserve"> </w:t>
      </w:r>
      <w:r>
        <w:rPr>
          <w:rFonts w:ascii="Times New Roman" w:hAnsi="Times New Roman" w:eastAsia="Times New Roman" w:cs="Times New Roman"/>
          <w:b/>
          <w:color w:val="000000"/>
          <w:sz w:val="24"/>
        </w:rPr>
        <w:t xml:space="preserve">định</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giá</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trị</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z w:val="24"/>
        </w:rPr>
        <w:t xml:space="preserve">hao</w:t>
      </w:r>
      <w:r>
        <w:rPr>
          <w:rFonts w:ascii="Times New Roman" w:hAnsi="Times New Roman" w:eastAsia="Times New Roman" w:cs="Times New Roman"/>
          <w:b/>
          <w:color w:val="000000"/>
          <w:spacing w:val="-1"/>
          <w:sz w:val="24"/>
        </w:rPr>
        <w:t xml:space="preserve"> </w:t>
      </w:r>
      <w:r>
        <w:rPr>
          <w:rFonts w:ascii="Times New Roman" w:hAnsi="Times New Roman" w:eastAsia="Times New Roman" w:cs="Times New Roman"/>
          <w:b/>
          <w:color w:val="000000"/>
          <w:spacing w:val="-4"/>
          <w:sz w:val="24"/>
        </w:rPr>
        <w:t xml:space="preserve">mòn:</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pPr>
      <w:r>
        <w:rPr>
          <w:rFonts w:ascii="Times New Roman" w:hAnsi="Times New Roman" w:eastAsia="Times New Roman" w:cs="Times New Roman"/>
          <w:color w:val="000000"/>
          <w:sz w:val="24"/>
        </w:rPr>
        <w:tab/>
        <w:t xml:space="preserve">Qua khảo sát hiện trạng, dựa vào đặc điểm tài sản và tham khảo ý kiến các chuyên giá về xây dựng. Tổ thẩm định đánh giá chất lượng còn lại của công trình xây dựng theo công văn Số: 1326/BXD-QLN do Bộ xây dựng ban hành ngày 08/8/2011 về việc hướng dẫn kiểm</w:t>
      </w:r>
      <w:r>
        <w:rPr>
          <w:rFonts w:ascii="Times New Roman" w:hAnsi="Times New Roman" w:eastAsia="Times New Roman" w:cs="Times New Roman"/>
          <w:color w:val="000000"/>
          <w:sz w:val="24"/>
        </w:rPr>
        <w:t xml:space="preserve"> kê, đánh giá lại giá trị tài sản cố định là nhà, vật kiến trúc như sau:</w:t>
      </w:r>
      <w:r/>
    </w:p>
    <w:p>
      <w:pPr>
        <w:pBdr>
          <w:top w:val="none" w:color="000000" w:sz="4" w:space="0"/>
          <w:left w:val="none" w:color="000000" w:sz="4" w:space="0"/>
          <w:bottom w:val="none" w:color="000000" w:sz="4" w:space="0"/>
          <w:right w:val="none" w:color="000000" w:sz="4" w:space="0"/>
        </w:pBdr>
        <w:spacing w:after="120" w:line="276" w:lineRule="auto"/>
        <w:ind w:right="0" w:firstLine="360" w:left="0"/>
        <w:jc w:val="both"/>
        <w:rPr/>
      </w:pPr>
      <w:r>
        <w:rPr>
          <w:rFonts w:ascii="Times New Roman" w:hAnsi="Times New Roman" w:eastAsia="Times New Roman" w:cs="Times New Roman"/>
          <w:color w:val="000000"/>
          <w:sz w:val="24"/>
        </w:rPr>
        <w:t xml:space="preserve">Tỷ lệ chất lượng còn lại của nhà, vật kiến trúc được xác định căn cứ vào tỷ lệ chất lượng còn lại của các kết cấu chính (nếu là nhà thì kết cấu chính gồm: móng, khung, cột, tường, nền, sàn, kết cấu đỡ mái và mái) tạo nên nhà đó và tỷ lệ giá trị của các kết</w:t>
      </w:r>
      <w:r>
        <w:rPr>
          <w:rFonts w:ascii="Times New Roman" w:hAnsi="Times New Roman" w:eastAsia="Times New Roman" w:cs="Times New Roman"/>
          <w:color w:val="000000"/>
          <w:sz w:val="24"/>
        </w:rPr>
        <w:t xml:space="preserve"> cấu chính đó so với tổng giá trị của nhà hoặc vật kiến trúc.</w:t>
      </w:r>
      <w:r/>
    </w:p>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Công thức tính như sau:</w:t>
      </w:r>
      <w:r/>
    </w:p>
    <w:tbl>
      <w:tblPr>
        <w:tblStyle w:val="1049"/>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36"/>
        <w:gridCol w:w="555"/>
        <w:gridCol w:w="700"/>
        <w:gridCol w:w="2813"/>
        <w:gridCol w:w="629"/>
        <w:gridCol w:w="2792"/>
      </w:tblGrid>
      <w:tr>
        <w:trPr/>
        <w:tc>
          <w:tcPr>
            <w:tcBorders/>
            <w:tcMar>
              <w:left w:w="108" w:type="dxa"/>
              <w:top w:w="0" w:type="dxa"/>
              <w:right w:w="108" w:type="dxa"/>
              <w:bottom w:w="0" w:type="dxa"/>
            </w:tcMar>
            <w:tcW w:w="2036"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nhà, vật kiến trúc (%)</w:t>
            </w:r>
            <w:r/>
          </w:p>
        </w:tc>
        <w:tc>
          <w:tcPr>
            <w:tcBorders/>
            <w:tcMar>
              <w:left w:w="108" w:type="dxa"/>
              <w:top w:w="0" w:type="dxa"/>
              <w:right w:w="108" w:type="dxa"/>
              <w:bottom w:w="0" w:type="dxa"/>
            </w:tcMar>
            <w:tcW w:w="555"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tcBorders>
            <w:tcMar>
              <w:left w:w="108" w:type="dxa"/>
              <w:top w:w="0" w:type="dxa"/>
              <w:right w:w="108" w:type="dxa"/>
              <w:bottom w:w="0" w:type="dxa"/>
            </w:tcMar>
            <w:tcW w:w="7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mc:AlternateContent>
                <mc:Choice Requires="wpg">
                  <w:drawing>
                    <wp:inline xmlns:wp="http://schemas.openxmlformats.org/drawingml/2006/wordprocessingDrawing" distT="0" distB="0" distL="0" distR="0">
                      <wp:extent cx="371475" cy="5334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795289" name=""/>
                              <pic:cNvPicPr>
                                <a:picLocks noChangeAspect="1"/>
                              </pic:cNvPicPr>
                              <pic:nvPr/>
                            </pic:nvPicPr>
                            <pic:blipFill rotWithShape="1">
                              <a:blip r:embed="rId21"/>
                              <a:stretch/>
                            </pic:blipFill>
                            <pic:spPr bwMode="auto">
                              <a:xfrm>
                                <a:off x="0" y="0"/>
                                <a:ext cx="371475" cy="533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9.25pt;height:42.00pt;mso-wrap-distance-left:0.00pt;mso-wrap-distance-top:0.00pt;mso-wrap-distance-right:0.00pt;mso-wrap-distance-bottom:0.00pt;z-index:1;" stroked="false">
                      <v:imagedata r:id="rId21" o:title=""/>
                      <o:lock v:ext="edit" rotation="t"/>
                    </v:shape>
                  </w:pict>
                </mc:Fallback>
              </mc:AlternateContent>
            </w:r>
            <w:r/>
          </w:p>
        </w:tc>
        <w:tc>
          <w:tcPr>
            <w:tcBorders>
              <w:bottom w:val="single" w:color="000000" w:sz="8" w:space="0"/>
            </w:tcBorders>
            <w:tcMar>
              <w:left w:w="108" w:type="dxa"/>
              <w:top w:w="0" w:type="dxa"/>
              <w:right w:w="108" w:type="dxa"/>
              <w:bottom w:w="0" w:type="dxa"/>
            </w:tcMar>
            <w:tcW w:w="2813"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chất lượng còn lại của kết cấu chính thức i (%)</w:t>
            </w:r>
            <w:r/>
          </w:p>
        </w:tc>
        <w:tc>
          <w:tcPr>
            <w:tcBorders>
              <w:bottom w:val="single" w:color="000000" w:sz="8" w:space="0"/>
            </w:tcBorders>
            <w:tcMar>
              <w:left w:w="108" w:type="dxa"/>
              <w:top w:w="0" w:type="dxa"/>
              <w:right w:w="108" w:type="dxa"/>
              <w:bottom w:w="0" w:type="dxa"/>
            </w:tcMar>
            <w:tcW w:w="629"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x</w:t>
            </w:r>
            <w:r/>
          </w:p>
        </w:tc>
        <w:tc>
          <w:tcPr>
            <w:tcBorders>
              <w:bottom w:val="single" w:color="000000" w:sz="8" w:space="0"/>
            </w:tcBorders>
            <w:tcMar>
              <w:left w:w="108" w:type="dxa"/>
              <w:top w:w="0" w:type="dxa"/>
              <w:right w:w="108" w:type="dxa"/>
              <w:bottom w:w="0" w:type="dxa"/>
            </w:tcMar>
            <w:tcW w:w="2792"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Tỷ lệ giá trị của kết cấu chính thứ i so với tổng giá trị của ngôi nhà hoặc vật kiến trúc(%)</w:t>
            </w:r>
            <w:r/>
          </w:p>
        </w:tc>
      </w:tr>
      <w:tr>
        <w:trPr>
          <w:trHeight w:val="500"/>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934"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line="276" w:lineRule="auto"/>
              <w:ind w:right="0" w:firstLine="0" w:left="0"/>
              <w:jc w:val="center"/>
              <w:rPr/>
            </w:pPr>
            <w:r>
              <w:rPr>
                <w:rFonts w:ascii="Times New Roman" w:hAnsi="Times New Roman" w:eastAsia="Times New Roman" w:cs="Times New Roman"/>
                <w:color w:val="000000"/>
                <w:sz w:val="24"/>
              </w:rPr>
              <w:t xml:space="preserve">Tổng tỷ lệ giá trị của các kết cấu chính so với tổng giá trị của ngôi nhà hoặc vật kiến trúc (%)</w:t>
            </w:r>
            <w:r/>
          </w:p>
        </w:tc>
      </w:tr>
    </w:tbl>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i/>
          <w:color w:val="000000"/>
          <w:sz w:val="24"/>
        </w:rPr>
        <w:t xml:space="preserve">Trong đó:</w:t>
      </w:r>
      <w:r/>
    </w:p>
    <w:p>
      <w:pPr>
        <w:pBdr>
          <w:top w:val="none" w:color="000000" w:sz="4" w:space="0"/>
          <w:left w:val="none" w:color="000000" w:sz="4" w:space="0"/>
          <w:bottom w:val="none" w:color="000000" w:sz="4" w:space="0"/>
          <w:right w:val="none" w:color="000000" w:sz="4" w:space="0"/>
        </w:pBdr>
        <w:spacing w:after="120" w:line="276" w:lineRule="auto"/>
        <w:ind w:right="0" w:firstLine="0" w:left="0"/>
        <w:rPr/>
      </w:pPr>
      <w:r>
        <w:rPr>
          <w:rFonts w:ascii="Times New Roman" w:hAnsi="Times New Roman" w:eastAsia="Times New Roman" w:cs="Times New Roman"/>
          <w:color w:val="000000"/>
          <w:sz w:val="24"/>
        </w:rPr>
        <w:t xml:space="preserve">i: số thứ tự của kết cấu chính</w:t>
      </w:r>
      <w:r/>
    </w:p>
    <w:p>
      <w:pPr>
        <w:pBdr>
          <w:top w:val="none" w:color="000000" w:sz="4" w:space="0"/>
          <w:left w:val="none" w:color="000000" w:sz="4" w:space="0"/>
          <w:bottom w:val="none" w:color="000000" w:sz="4" w:space="0"/>
          <w:right w:val="none" w:color="000000" w:sz="4" w:space="0"/>
        </w:pBdr>
        <w:spacing w:before="120" w:line="276" w:lineRule="auto"/>
        <w:ind w:right="0" w:firstLine="0" w:left="0"/>
        <w:jc w:val="both"/>
        <w:rPr/>
      </w:pPr>
      <w:r>
        <w:rPr>
          <w:rFonts w:ascii="Times New Roman" w:hAnsi="Times New Roman" w:eastAsia="Times New Roman" w:cs="Times New Roman"/>
          <w:color w:val="000000"/>
          <w:sz w:val="24"/>
        </w:rPr>
        <w:t xml:space="preserve">n: số các kết cấu chính.</w:t>
      </w:r>
      <w:r/>
    </w:p>
    <w:p>
      <w:pPr>
        <w:pBdr>
          <w:top w:val="none" w:color="000000" w:sz="4" w:space="0"/>
          <w:left w:val="none" w:color="000000" w:sz="4" w:space="0"/>
          <w:bottom w:val="none" w:color="000000" w:sz="4" w:space="0"/>
          <w:right w:val="none" w:color="000000" w:sz="4" w:space="0"/>
        </w:pBdr>
        <w:spacing w:after="60" w:before="120" w:line="276" w:lineRule="auto"/>
        <w:ind w:right="0" w:firstLine="0" w:left="0"/>
        <w:jc w:val="both"/>
        <w:rPr/>
      </w:pPr>
      <w:r>
        <w:rPr>
          <w:rFonts w:ascii="Times New Roman" w:hAnsi="Times New Roman" w:eastAsia="Times New Roman" w:cs="Times New Roman"/>
          <w:color w:val="000000"/>
          <w:sz w:val="24"/>
        </w:rPr>
        <w:t xml:space="preserve">Căn cứ Công văn số 1326/BXD-QLN của Bộ xây dựng ngày 08/8/2011 về việc hướng dẫn kiểm kê, đánh giá lại giá trị tài sản cố định là nhà, vật kiến trúc</w:t>
      </w:r>
      <w:r>
        <w:rPr>
          <w:rFonts w:ascii="Times New Roman" w:hAnsi="Times New Roman" w:eastAsia="Times New Roman" w:cs="Times New Roman"/>
          <w:color w:val="000000"/>
          <w:sz w:val="24"/>
          <w:highlight w:val="white"/>
        </w:rPr>
        <w:t xml:space="preserve">. </w:t>
      </w:r>
      <w:r>
        <w:rPr>
          <w:rFonts w:ascii="Times New Roman" w:hAnsi="Times New Roman" w:eastAsia="Times New Roman" w:cs="Times New Roman"/>
          <w:color w:val="000000"/>
          <w:sz w:val="24"/>
        </w:rPr>
        <w:t xml:space="preserve">Chất lượng còn lại của tài sản được xác định như sau: </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931"/>
        <w:gridCol w:w="2506"/>
        <w:gridCol w:w="1802"/>
        <w:gridCol w:w="1440"/>
        <w:gridCol w:w="2451"/>
      </w:tblGrid>
      <w:tr>
        <w:trPr/>
        <w:tc>
          <w:tcPr>
            <w:tcBorders>
              <w:top w:val="single" w:color="000000" w:sz="8" w:space="0"/>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b/>
                <w:color w:val="000000"/>
                <w:sz w:val="24"/>
              </w:rPr>
              <w:t xml:space="preserve">TT</w:t>
            </w:r>
            <w:r/>
          </w:p>
        </w:tc>
        <w:tc>
          <w:tcPr>
            <w:tcBorders>
              <w:top w:val="single" w:color="000000" w:sz="8" w:space="0"/>
              <w:bottom w:val="single" w:color="000000" w:sz="8" w:space="0"/>
              <w:right w:val="single" w:color="000000" w:sz="8" w:space="0"/>
            </w:tcBorders>
            <w:tcMar>
              <w:left w:w="15" w:type="dxa"/>
              <w:top w:w="15" w:type="dxa"/>
              <w:right w:w="15" w:type="dxa"/>
              <w:bottom w:w="0" w:type="dxa"/>
            </w:tcMar>
            <w:tcW w:w="2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b/>
                <w:color w:val="000000"/>
                <w:sz w:val="24"/>
              </w:rPr>
              <w:t xml:space="preserve">TÊN KẾT CẤU CHÍNH</w:t>
            </w:r>
            <w:r/>
          </w:p>
        </w:tc>
        <w:tc>
          <w:tcPr>
            <w:tcBorders>
              <w:top w:val="single" w:color="000000" w:sz="8" w:space="0"/>
              <w:bottom w:val="single" w:color="000000" w:sz="8" w:space="0"/>
              <w:right w:val="single" w:color="000000" w:sz="8" w:space="0"/>
            </w:tcBorders>
            <w:tcMar>
              <w:left w:w="15" w:type="dxa"/>
              <w:top w:w="15" w:type="dxa"/>
              <w:right w:w="15" w:type="dxa"/>
              <w:bottom w:w="0" w:type="dxa"/>
            </w:tcMar>
            <w:tcW w:w="180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b/>
                <w:color w:val="000000"/>
                <w:sz w:val="24"/>
              </w:rPr>
              <w:t xml:space="preserve">Tỷ lệ giá trị các kết cấu chính (%)</w:t>
            </w:r>
            <w:r/>
          </w:p>
        </w:tc>
        <w:tc>
          <w:tcPr>
            <w:tcBorders>
              <w:top w:val="single" w:color="000000" w:sz="8" w:space="0"/>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b/>
                <w:color w:val="000000"/>
                <w:sz w:val="24"/>
              </w:rPr>
              <w:t xml:space="preserve">Tỷ lệ chất lượng còn lại các kết cấu chính (%)</w:t>
            </w:r>
            <w:r/>
          </w:p>
        </w:tc>
        <w:tc>
          <w:tcPr>
            <w:tcBorders>
              <w:top w:val="single" w:color="000000" w:sz="8" w:space="0"/>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b/>
                <w:color w:val="000000"/>
                <w:sz w:val="24"/>
              </w:rPr>
              <w:t xml:space="preserve">Tỷ lệ giá trị còn lại các kết cấu chính (%)</w:t>
            </w: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i/>
                <w:color w:val="000000"/>
                <w:sz w:val="24"/>
              </w:rPr>
              <w:t xml:space="preserve">a</w:t>
            </w: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i/>
                <w:color w:val="000000"/>
                <w:sz w:val="24"/>
              </w:rPr>
              <w:t xml:space="preserve">b</w:t>
            </w: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i/>
                <w:color w:val="000000"/>
                <w:sz w:val="24"/>
              </w:rPr>
              <w:t xml:space="preserve">c</w:t>
            </w: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i/>
                <w:color w:val="000000"/>
                <w:sz w:val="24"/>
              </w:rPr>
              <w:t xml:space="preserve">d</w:t>
            </w: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i/>
                <w:color w:val="000000"/>
                <w:sz w:val="24"/>
              </w:rPr>
              <w:t xml:space="preserve">e = c x d/g</w:t>
            </w: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1</w:t>
            </w: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rPr/>
            </w:pPr>
            <w:r>
              <w:rPr>
                <w:rFonts w:ascii="Times New Roman" w:hAnsi="Times New Roman" w:eastAsia="Times New Roman" w:cs="Times New Roman"/>
                <w:color w:val="000000"/>
                <w:sz w:val="24"/>
              </w:rPr>
              <w:t xml:space="preserve">Móng</w:t>
            </w: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20%</w:t>
            </w: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10%</w:t>
            </w: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2%</w:t>
            </w: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2</w:t>
            </w: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rPr/>
            </w:pPr>
            <w:r>
              <w:rPr>
                <w:rFonts w:ascii="Times New Roman" w:hAnsi="Times New Roman" w:eastAsia="Times New Roman" w:cs="Times New Roman"/>
                <w:color w:val="000000"/>
                <w:sz w:val="24"/>
              </w:rPr>
              <w:t xml:space="preserve">Khung, cột</w:t>
            </w: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0%</w:t>
            </w: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3</w:t>
            </w: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rPr/>
            </w:pPr>
            <w:r>
              <w:rPr>
                <w:rFonts w:ascii="Times New Roman" w:hAnsi="Times New Roman" w:eastAsia="Times New Roman" w:cs="Times New Roman"/>
                <w:color w:val="000000"/>
                <w:sz w:val="24"/>
              </w:rPr>
              <w:t xml:space="preserve">Tường</w:t>
            </w: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30%</w:t>
            </w: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15%</w:t>
            </w: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5%</w:t>
            </w: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4</w:t>
            </w: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rPr/>
            </w:pPr>
            <w:r>
              <w:rPr>
                <w:rFonts w:ascii="Times New Roman" w:hAnsi="Times New Roman" w:eastAsia="Times New Roman" w:cs="Times New Roman"/>
                <w:color w:val="000000"/>
                <w:sz w:val="24"/>
              </w:rPr>
              <w:t xml:space="preserve">Nền, sàn</w:t>
            </w: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20%</w:t>
            </w: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15%</w:t>
            </w: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3%</w:t>
            </w: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5</w:t>
            </w: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rPr/>
            </w:pPr>
            <w:r>
              <w:rPr>
                <w:rFonts w:ascii="Times New Roman" w:hAnsi="Times New Roman" w:eastAsia="Times New Roman" w:cs="Times New Roman"/>
                <w:color w:val="000000"/>
                <w:sz w:val="24"/>
              </w:rPr>
              <w:t xml:space="preserve">Kết cấu đỡ mái</w:t>
            </w: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0%</w:t>
            </w: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0%</w:t>
            </w: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rPr/>
            </w:pPr>
            <w:r>
              <w:rPr>
                <w:rFonts w:ascii="Times New Roman" w:hAnsi="Times New Roman" w:eastAsia="Times New Roman" w:cs="Times New Roman"/>
                <w:color w:val="000000"/>
                <w:sz w:val="24"/>
              </w:rPr>
              <w:t xml:space="preserve">Mái</w:t>
            </w: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30%</w:t>
            </w: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25%</w:t>
            </w: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8%</w:t>
            </w: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5" w:type="dxa"/>
              <w:top w:w="15" w:type="dxa"/>
              <w:right w:w="15" w:type="dxa"/>
              <w:bottom w:w="0" w:type="dxa"/>
            </w:tcMar>
            <w:tcW w:w="2506"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b/>
                <w:color w:val="000000"/>
                <w:sz w:val="24"/>
              </w:rPr>
              <w:t xml:space="preserve">Tổng cộng (g):</w:t>
            </w:r>
            <w:r/>
          </w:p>
        </w:tc>
        <w:tc>
          <w:tcPr>
            <w:tcBorders>
              <w:bottom w:val="single" w:color="000000" w:sz="8" w:space="0"/>
              <w:right w:val="single" w:color="000000" w:sz="8" w:space="0"/>
            </w:tcBorders>
            <w:tcMar>
              <w:left w:w="15" w:type="dxa"/>
              <w:top w:w="15" w:type="dxa"/>
              <w:right w:w="15" w:type="dxa"/>
              <w:bottom w:w="0" w:type="dxa"/>
            </w:tcMar>
            <w:tcW w:w="180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color w:val="000000"/>
                <w:sz w:val="24"/>
              </w:rPr>
              <w:t xml:space="preserve">100%</w:t>
            </w:r>
            <w:r/>
          </w:p>
        </w:tc>
        <w:tc>
          <w:tcPr>
            <w:tcBorders>
              <w:bottom w:val="single" w:color="000000" w:sz="8" w:space="0"/>
              <w:right w:val="single" w:color="000000" w:sz="8" w:space="0"/>
            </w:tcBorders>
            <w:tcMar>
              <w:left w:w="15" w:type="dxa"/>
              <w:top w:w="15" w:type="dxa"/>
              <w:right w:w="15" w:type="dxa"/>
              <w:bottom w:w="0" w:type="dxa"/>
            </w:tcMar>
            <w:tcW w:w="1440"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rPr/>
            </w:pPr>
            <w:r>
              <w:rPr>
                <w:rFonts w:ascii="Times New Roman" w:hAnsi="Times New Roman" w:eastAsia="Times New Roman" w:cs="Times New Roman"/>
                <w:color w:val="000000"/>
                <w:sz w:val="24"/>
              </w:rPr>
              <w:t xml:space="preserve"> </w:t>
            </w:r>
            <w:r/>
          </w:p>
        </w:tc>
      </w:tr>
      <w:tr>
        <w:trPr/>
        <w:tc>
          <w:tcPr>
            <w:tcBorders>
              <w:left w:val="single" w:color="000000" w:sz="8" w:space="0"/>
              <w:bottom w:val="single" w:color="000000" w:sz="8" w:space="0"/>
              <w:right w:val="single" w:color="000000" w:sz="8" w:space="0"/>
            </w:tcBorders>
            <w:tcMar>
              <w:left w:w="15" w:type="dxa"/>
              <w:top w:w="15" w:type="dxa"/>
              <w:right w:w="15" w:type="dxa"/>
              <w:bottom w:w="0" w:type="dxa"/>
            </w:tcMar>
            <w:tcW w:w="93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rPr/>
            </w:pPr>
            <w:r>
              <w:rPr>
                <w:rFonts w:ascii="Times New Roman" w:hAnsi="Times New Roman" w:eastAsia="Times New Roman" w:cs="Times New Roman"/>
                <w:color w:val="000000"/>
                <w:sz w:val="24"/>
              </w:rPr>
              <w:t xml:space="preserve"> </w:t>
            </w:r>
            <w:r/>
          </w:p>
        </w:tc>
        <w:tc>
          <w:tcPr>
            <w:gridSpan w:val="3"/>
            <w:tcBorders>
              <w:bottom w:val="single" w:color="000000" w:sz="8" w:space="0"/>
              <w:right w:val="single" w:color="000000" w:sz="8" w:space="0"/>
            </w:tcBorders>
            <w:tcMar>
              <w:left w:w="15" w:type="dxa"/>
              <w:top w:w="15" w:type="dxa"/>
              <w:right w:w="15" w:type="dxa"/>
              <w:bottom w:w="0" w:type="dxa"/>
            </w:tcMar>
            <w:tcW w:w="57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b/>
                <w:color w:val="000000"/>
                <w:sz w:val="24"/>
              </w:rPr>
              <w:t xml:space="preserve">Tỷ lệ chất lượng còn lại:</w:t>
            </w:r>
            <w:r/>
          </w:p>
        </w:tc>
        <w:tc>
          <w:tcPr>
            <w:tcBorders>
              <w:bottom w:val="single" w:color="000000" w:sz="8" w:space="0"/>
              <w:right w:val="single" w:color="000000" w:sz="8" w:space="0"/>
            </w:tcBorders>
            <w:tcMar>
              <w:left w:w="15" w:type="dxa"/>
              <w:top w:w="15" w:type="dxa"/>
              <w:right w:w="15" w:type="dxa"/>
              <w:bottom w:w="0" w:type="dxa"/>
            </w:tcMar>
            <w:tcW w:w="24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72"/>
              <w:ind w:right="0" w:firstLine="0" w:left="72"/>
              <w:jc w:val="center"/>
              <w:rPr/>
            </w:pPr>
            <w:r>
              <w:rPr>
                <w:rFonts w:ascii="Times New Roman" w:hAnsi="Times New Roman" w:eastAsia="Times New Roman" w:cs="Times New Roman"/>
                <w:b/>
                <w:color w:val="000000"/>
                <w:sz w:val="24"/>
              </w:rPr>
              <w:t xml:space="preserve">83%</w:t>
            </w:r>
            <w:r/>
          </w:p>
        </w:tc>
      </w:tr>
    </w:tbl>
    <w:p>
      <w:pPr>
        <w:pBdr>
          <w:top w:val="none" w:color="000000" w:sz="4" w:space="0"/>
          <w:left w:val="none" w:color="000000" w:sz="4" w:space="0"/>
          <w:bottom w:val="none" w:color="000000" w:sz="4" w:space="0"/>
          <w:right w:val="none" w:color="000000" w:sz="4" w:space="0"/>
        </w:pBdr>
        <w:spacing w:before="72"/>
        <w:ind w:right="0" w:firstLine="426" w:left="0"/>
        <w:rPr/>
      </w:pPr>
      <w:r>
        <w:rPr>
          <w:rFonts w:ascii="Times New Roman" w:hAnsi="Times New Roman" w:eastAsia="Times New Roman" w:cs="Times New Roman"/>
          <w:color w:val="000000"/>
          <w:sz w:val="24"/>
        </w:rPr>
        <w:t xml:space="preserve">Tổ</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thẩm</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xác</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tỉ</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lệ</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hao</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mòn</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của</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tài</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sản</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thẩm</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định</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là:</w:t>
      </w:r>
      <w:r>
        <w:rPr>
          <w:rFonts w:ascii="Times New Roman" w:hAnsi="Times New Roman" w:eastAsia="Times New Roman" w:cs="Times New Roman"/>
          <w:color w:val="000000"/>
          <w:spacing w:val="-4"/>
          <w:sz w:val="24"/>
        </w:rPr>
        <w:t xml:space="preserve"> </w:t>
      </w:r>
      <w:r>
        <w:rPr>
          <w:rFonts w:ascii="Times New Roman" w:hAnsi="Times New Roman" w:eastAsia="Times New Roman" w:cs="Times New Roman"/>
          <w:b/>
          <w:color w:val="000000"/>
          <w:sz w:val="24"/>
        </w:rPr>
        <w:t xml:space="preserve">17%</w:t>
      </w:r>
      <w:r>
        <w:rPr>
          <w:rFonts w:ascii="Times New Roman" w:hAnsi="Times New Roman" w:eastAsia="Times New Roman" w:cs="Times New Roman"/>
          <w:color w:val="000000"/>
          <w:sz w:val="24"/>
        </w:rPr>
        <w:t xml:space="preserve">,</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theo</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đó</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tỷ</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lệ</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chất</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lượng</w:t>
      </w:r>
      <w:r>
        <w:rPr>
          <w:rFonts w:ascii="Times New Roman" w:hAnsi="Times New Roman" w:eastAsia="Times New Roman" w:cs="Times New Roman"/>
          <w:color w:val="000000"/>
          <w:spacing w:val="-7"/>
          <w:sz w:val="24"/>
        </w:rPr>
        <w:t xml:space="preserve"> </w:t>
      </w:r>
      <w:r>
        <w:rPr>
          <w:rFonts w:ascii="Times New Roman" w:hAnsi="Times New Roman" w:eastAsia="Times New Roman" w:cs="Times New Roman"/>
          <w:color w:val="000000"/>
          <w:sz w:val="24"/>
        </w:rPr>
        <w:t xml:space="preserve">còn lại của tài sản là: </w:t>
      </w:r>
      <w:r>
        <w:rPr>
          <w:rFonts w:ascii="Times New Roman" w:hAnsi="Times New Roman" w:eastAsia="Times New Roman" w:cs="Times New Roman"/>
          <w:b/>
          <w:color w:val="000000"/>
          <w:sz w:val="24"/>
        </w:rPr>
        <w:t xml:space="preserve">83%</w:t>
      </w:r>
      <w:r>
        <w:rPr>
          <w:rFonts w:ascii="Times New Roman" w:hAnsi="Times New Roman" w:eastAsia="Times New Roman" w:cs="Times New Roman"/>
          <w:color w:val="000000"/>
          <w:sz w:val="24"/>
        </w:rPr>
        <w:t xml:space="preserve">. </w:t>
      </w:r>
      <w:r/>
    </w:p>
    <w:p>
      <w:pPr>
        <w:pStyle w:val="1026"/>
        <w:numPr>
          <w:ilvl w:val="0"/>
          <w:numId w:val="43"/>
        </w:numPr>
        <w:pBdr>
          <w:top w:val="none" w:color="000000" w:sz="4" w:space="0"/>
          <w:left w:val="none" w:color="000000" w:sz="4" w:space="0"/>
          <w:bottom w:val="none" w:color="000000" w:sz="4" w:space="0"/>
          <w:right w:val="none" w:color="000000" w:sz="4" w:space="0"/>
        </w:pBdr>
        <w:tabs>
          <w:tab w:val="left" w:leader="none" w:pos="1106"/>
        </w:tabs>
        <w:spacing w:after="0" w:before="85"/>
        <w:ind/>
        <w:rPr/>
      </w:pPr>
      <w:r>
        <w:rPr>
          <w:rFonts w:ascii="Times New Roman" w:hAnsi="Times New Roman" w:eastAsia="Times New Roman" w:cs="Times New Roman"/>
          <w:b/>
          <w:color w:val="000000"/>
          <w:sz w:val="24"/>
          <w:highlight w:val="white"/>
        </w:rPr>
        <w:t xml:space="preserve">Xác</w:t>
      </w:r>
      <w:r>
        <w:rPr>
          <w:rFonts w:ascii="Times New Roman" w:hAnsi="Times New Roman" w:eastAsia="Times New Roman" w:cs="Times New Roman"/>
          <w:b/>
          <w:color w:val="000000"/>
          <w:spacing w:val="-2"/>
          <w:sz w:val="24"/>
          <w:highlight w:val="white"/>
        </w:rPr>
        <w:t xml:space="preserve"> </w:t>
      </w:r>
      <w:r>
        <w:rPr>
          <w:rFonts w:ascii="Times New Roman" w:hAnsi="Times New Roman" w:eastAsia="Times New Roman" w:cs="Times New Roman"/>
          <w:b/>
          <w:color w:val="000000"/>
          <w:sz w:val="24"/>
          <w:highlight w:val="white"/>
        </w:rPr>
        <w:t xml:space="preserve">định</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z w:val="24"/>
          <w:highlight w:val="white"/>
        </w:rPr>
        <w:t xml:space="preserve">giá</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z w:val="24"/>
          <w:highlight w:val="white"/>
        </w:rPr>
        <w:t xml:space="preserve">trị</w:t>
      </w:r>
      <w:r>
        <w:rPr>
          <w:rFonts w:ascii="Times New Roman" w:hAnsi="Times New Roman" w:eastAsia="Times New Roman" w:cs="Times New Roman"/>
          <w:b/>
          <w:color w:val="000000"/>
          <w:spacing w:val="-2"/>
          <w:sz w:val="24"/>
          <w:highlight w:val="white"/>
        </w:rPr>
        <w:t xml:space="preserve"> </w:t>
      </w:r>
      <w:r>
        <w:rPr>
          <w:rFonts w:ascii="Times New Roman" w:hAnsi="Times New Roman" w:eastAsia="Times New Roman" w:cs="Times New Roman"/>
          <w:b/>
          <w:color w:val="000000"/>
          <w:sz w:val="24"/>
          <w:highlight w:val="white"/>
        </w:rPr>
        <w:t xml:space="preserve">công</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z w:val="24"/>
          <w:highlight w:val="white"/>
        </w:rPr>
        <w:t xml:space="preserve">trình</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z w:val="24"/>
          <w:highlight w:val="white"/>
        </w:rPr>
        <w:t xml:space="preserve">xây</w:t>
      </w:r>
      <w:r>
        <w:rPr>
          <w:rFonts w:ascii="Times New Roman" w:hAnsi="Times New Roman" w:eastAsia="Times New Roman" w:cs="Times New Roman"/>
          <w:b/>
          <w:color w:val="000000"/>
          <w:spacing w:val="-1"/>
          <w:sz w:val="24"/>
          <w:highlight w:val="white"/>
        </w:rPr>
        <w:t xml:space="preserve"> </w:t>
      </w:r>
      <w:r>
        <w:rPr>
          <w:rFonts w:ascii="Times New Roman" w:hAnsi="Times New Roman" w:eastAsia="Times New Roman" w:cs="Times New Roman"/>
          <w:b/>
          <w:color w:val="000000"/>
          <w:spacing w:val="-2"/>
          <w:sz w:val="24"/>
          <w:highlight w:val="white"/>
        </w:rPr>
        <w:t xml:space="preserve">dựng:</w:t>
      </w:r>
      <w:r/>
    </w:p>
    <w:p>
      <w:pPr>
        <w:pBdr>
          <w:top w:val="none" w:color="000000" w:sz="4" w:space="0"/>
          <w:left w:val="none" w:color="000000" w:sz="4" w:space="0"/>
          <w:bottom w:val="none" w:color="000000" w:sz="4" w:space="0"/>
          <w:right w:val="none" w:color="000000" w:sz="4" w:space="0"/>
        </w:pBdr>
        <w:spacing w:before="153"/>
        <w:ind w:right="0" w:firstLine="0" w:left="0"/>
        <w:rPr/>
      </w:pPr>
      <w:r>
        <w:rPr>
          <w:rFonts w:ascii="Times New Roman" w:hAnsi="Times New Roman" w:eastAsia="Times New Roman" w:cs="Times New Roman"/>
          <w:color w:val="000000"/>
          <w:sz w:val="24"/>
          <w:highlight w:val="white"/>
        </w:rPr>
        <w:t xml:space="preserve">Công</w:t>
      </w:r>
      <w:r>
        <w:rPr>
          <w:rFonts w:ascii="Times New Roman" w:hAnsi="Times New Roman" w:eastAsia="Times New Roman" w:cs="Times New Roman"/>
          <w:color w:val="000000"/>
          <w:spacing w:val="10"/>
          <w:sz w:val="24"/>
          <w:highlight w:val="white"/>
        </w:rPr>
        <w:t xml:space="preserve"> </w:t>
      </w:r>
      <w:r>
        <w:rPr>
          <w:rFonts w:ascii="Times New Roman" w:hAnsi="Times New Roman" w:eastAsia="Times New Roman" w:cs="Times New Roman"/>
          <w:color w:val="000000"/>
          <w:spacing w:val="-2"/>
          <w:sz w:val="24"/>
          <w:highlight w:val="white"/>
        </w:rPr>
        <w:t xml:space="preserve">thức:</w:t>
      </w:r>
      <w:r/>
    </w:p>
    <w:tbl>
      <w:tblPr>
        <w:tblStyle w:val="1049"/>
        <w:tblInd w:w="453"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722"/>
        <w:gridCol w:w="538"/>
        <w:gridCol w:w="3685"/>
        <w:gridCol w:w="567"/>
        <w:gridCol w:w="1559"/>
      </w:tblGrid>
      <w:tr>
        <w:trPr/>
        <w:tc>
          <w:tcPr>
            <w:tcBorders/>
            <w:tcMar>
              <w:left w:w="108" w:type="dxa"/>
              <w:top w:w="0" w:type="dxa"/>
              <w:right w:w="108" w:type="dxa"/>
              <w:bottom w:w="0" w:type="dxa"/>
            </w:tcMar>
            <w:tcW w:w="2722" w:type="dxa"/>
            <w:vAlign w:val="center"/>
            <w:textDirection w:val="lrTb"/>
            <w:noWrap w:val="false"/>
          </w:tcPr>
          <w:p>
            <w:pPr>
              <w:pBdr>
                <w:top w:val="none" w:color="000000" w:sz="4" w:space="0"/>
                <w:left w:val="none" w:color="000000" w:sz="4" w:space="0"/>
                <w:bottom w:val="none" w:color="000000" w:sz="4" w:space="0"/>
                <w:right w:val="none" w:color="000000" w:sz="4" w:space="0"/>
              </w:pBdr>
              <w:tabs>
                <w:tab w:val="left" w:leader="none" w:pos="2016"/>
              </w:tabs>
              <w:spacing w:before="181"/>
              <w:ind w:right="0" w:firstLine="0" w:left="0"/>
              <w:rPr/>
            </w:pPr>
            <w:r>
              <w:rPr>
                <w:rFonts w:ascii="Times New Roman" w:hAnsi="Times New Roman" w:eastAsia="Times New Roman" w:cs="Times New Roman"/>
                <w:color w:val="000000"/>
                <w:sz w:val="24"/>
                <w:highlight w:val="white"/>
              </w:rPr>
              <w:t xml:space="preserve">Giá trị ước</w:t>
            </w:r>
            <w:r>
              <w:rPr>
                <w:rFonts w:ascii="Times New Roman" w:hAnsi="Times New Roman" w:eastAsia="Times New Roman" w:cs="Times New Roman"/>
                <w:color w:val="000000"/>
                <w:spacing w:val="40"/>
                <w:sz w:val="24"/>
                <w:highlight w:val="white"/>
              </w:rPr>
              <w:t xml:space="preserve"> </w:t>
            </w:r>
            <w:r>
              <w:rPr>
                <w:rFonts w:ascii="Times New Roman" w:hAnsi="Times New Roman" w:eastAsia="Times New Roman" w:cs="Times New Roman"/>
                <w:color w:val="000000"/>
                <w:sz w:val="24"/>
                <w:highlight w:val="white"/>
              </w:rPr>
              <w:t xml:space="preserve">tính của tài sản</w:t>
            </w:r>
            <w:r/>
          </w:p>
        </w:tc>
        <w:tc>
          <w:tcPr>
            <w:tcBorders/>
            <w:tcMar>
              <w:left w:w="108" w:type="dxa"/>
              <w:top w:w="0" w:type="dxa"/>
              <w:right w:w="108" w:type="dxa"/>
              <w:bottom w:w="0" w:type="dxa"/>
            </w:tcMar>
            <w:tcW w:w="53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3685" w:type="dxa"/>
            <w:vAlign w:val="center"/>
            <w:textDirection w:val="lrTb"/>
            <w:noWrap w:val="false"/>
          </w:tcPr>
          <w:p>
            <w:pPr>
              <w:pBdr>
                <w:top w:val="none" w:color="000000" w:sz="4" w:space="0"/>
                <w:left w:val="none" w:color="000000" w:sz="4" w:space="0"/>
                <w:bottom w:val="none" w:color="000000" w:sz="4" w:space="0"/>
                <w:right w:val="none" w:color="000000" w:sz="4" w:space="0"/>
              </w:pBdr>
              <w:spacing w:before="121"/>
              <w:ind w:right="0" w:firstLine="0" w:left="0"/>
              <w:jc w:val="center"/>
              <w:rPr/>
            </w:pPr>
            <w:r>
              <w:rPr>
                <w:rFonts w:ascii="Times New Roman" w:hAnsi="Times New Roman" w:eastAsia="Times New Roman" w:cs="Times New Roman"/>
                <w:color w:val="000000"/>
                <w:sz w:val="24"/>
                <w:highlight w:val="white"/>
              </w:rPr>
              <w:t xml:space="preserve">Chi</w:t>
            </w:r>
            <w:r>
              <w:rPr>
                <w:rFonts w:ascii="Times New Roman" w:hAnsi="Times New Roman" w:eastAsia="Times New Roman" w:cs="Times New Roman"/>
                <w:color w:val="000000"/>
                <w:spacing w:val="-2"/>
                <w:sz w:val="24"/>
                <w:highlight w:val="white"/>
              </w:rPr>
              <w:t xml:space="preserve"> </w:t>
            </w:r>
            <w:r>
              <w:rPr>
                <w:rFonts w:ascii="Times New Roman" w:hAnsi="Times New Roman" w:eastAsia="Times New Roman" w:cs="Times New Roman"/>
                <w:color w:val="000000"/>
                <w:sz w:val="24"/>
                <w:highlight w:val="white"/>
              </w:rPr>
              <w:t xml:space="preserve">phí</w:t>
            </w:r>
            <w:r>
              <w:rPr>
                <w:rFonts w:ascii="Times New Roman" w:hAnsi="Times New Roman" w:eastAsia="Times New Roman" w:cs="Times New Roman"/>
                <w:color w:val="000000"/>
                <w:spacing w:val="-2"/>
                <w:sz w:val="24"/>
                <w:highlight w:val="white"/>
              </w:rPr>
              <w:t xml:space="preserve"> </w:t>
            </w:r>
            <w:r>
              <w:rPr>
                <w:rFonts w:ascii="Times New Roman" w:hAnsi="Times New Roman" w:eastAsia="Times New Roman" w:cs="Times New Roman"/>
                <w:color w:val="000000"/>
                <w:sz w:val="24"/>
                <w:highlight w:val="white"/>
              </w:rPr>
              <w:t xml:space="preserve">thay</w:t>
            </w:r>
            <w:r>
              <w:rPr>
                <w:rFonts w:ascii="Times New Roman" w:hAnsi="Times New Roman" w:eastAsia="Times New Roman" w:cs="Times New Roman"/>
                <w:color w:val="000000"/>
                <w:spacing w:val="-1"/>
                <w:sz w:val="24"/>
                <w:highlight w:val="white"/>
              </w:rPr>
              <w:t xml:space="preserve"> </w:t>
            </w:r>
            <w:r>
              <w:rPr>
                <w:rFonts w:ascii="Times New Roman" w:hAnsi="Times New Roman" w:eastAsia="Times New Roman" w:cs="Times New Roman"/>
                <w:color w:val="000000"/>
                <w:spacing w:val="-5"/>
                <w:sz w:val="24"/>
                <w:highlight w:val="white"/>
              </w:rPr>
              <w:t xml:space="preserve">thế</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(Giá</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trị</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xây</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mới</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tài</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sản</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đã</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bao</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gồm</w:t>
            </w:r>
            <w:r>
              <w:rPr>
                <w:rFonts w:ascii="Times New Roman" w:hAnsi="Times New Roman" w:eastAsia="Times New Roman" w:cs="Times New Roman"/>
                <w:color w:val="000000"/>
                <w:spacing w:val="-5"/>
                <w:sz w:val="22"/>
                <w:highlight w:val="white"/>
              </w:rPr>
              <w:t xml:space="preserve"> </w:t>
            </w:r>
            <w:r>
              <w:rPr>
                <w:rFonts w:ascii="Times New Roman" w:hAnsi="Times New Roman" w:eastAsia="Times New Roman" w:cs="Times New Roman"/>
                <w:color w:val="000000"/>
                <w:sz w:val="22"/>
                <w:highlight w:val="white"/>
              </w:rPr>
              <w:t xml:space="preserve">lợi nhuận của nhà sản xuất/nhà đầu tư)</w:t>
            </w:r>
            <w:r/>
          </w:p>
        </w:tc>
        <w:tc>
          <w:tcPr>
            <w:tcBorders/>
            <w:tcMar>
              <w:left w:w="108" w:type="dxa"/>
              <w:top w:w="0" w:type="dxa"/>
              <w:right w:w="108" w:type="dxa"/>
              <w:bottom w:w="0" w:type="dxa"/>
            </w:tcMar>
            <w:tcW w:w="56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highlight w:val="white"/>
              </w:rPr>
              <w:t xml:space="preserve">-</w:t>
            </w:r>
            <w:r/>
          </w:p>
        </w:tc>
        <w:tc>
          <w:tcPr>
            <w:tcBorders/>
            <w:tcMar>
              <w:left w:w="108" w:type="dxa"/>
              <w:top w:w="0" w:type="dxa"/>
              <w:right w:w="108"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highlight w:val="white"/>
              </w:rPr>
              <w:t xml:space="preserve">Tổng</w:t>
            </w:r>
            <w:r>
              <w:rPr>
                <w:rFonts w:ascii="Times New Roman" w:hAnsi="Times New Roman" w:eastAsia="Times New Roman" w:cs="Times New Roman"/>
                <w:color w:val="000000"/>
                <w:spacing w:val="-15"/>
                <w:sz w:val="22"/>
                <w:highlight w:val="white"/>
              </w:rPr>
              <w:t xml:space="preserve"> </w:t>
            </w:r>
            <w:r>
              <w:rPr>
                <w:rFonts w:ascii="Times New Roman" w:hAnsi="Times New Roman" w:eastAsia="Times New Roman" w:cs="Times New Roman"/>
                <w:color w:val="000000"/>
                <w:sz w:val="22"/>
                <w:highlight w:val="white"/>
              </w:rPr>
              <w:t xml:space="preserve">giá</w:t>
            </w:r>
            <w:r>
              <w:rPr>
                <w:rFonts w:ascii="Times New Roman" w:hAnsi="Times New Roman" w:eastAsia="Times New Roman" w:cs="Times New Roman"/>
                <w:color w:val="000000"/>
                <w:spacing w:val="-15"/>
                <w:sz w:val="22"/>
                <w:highlight w:val="white"/>
              </w:rPr>
              <w:t xml:space="preserve"> </w:t>
            </w:r>
            <w:r>
              <w:rPr>
                <w:rFonts w:ascii="Times New Roman" w:hAnsi="Times New Roman" w:eastAsia="Times New Roman" w:cs="Times New Roman"/>
                <w:color w:val="000000"/>
                <w:sz w:val="22"/>
                <w:highlight w:val="white"/>
              </w:rPr>
              <w:t xml:space="preserve">trị hao mòn</w:t>
            </w:r>
            <w:r/>
          </w:p>
        </w:tc>
      </w:tr>
    </w:tbl>
    <w:p>
      <w:pPr>
        <w:pBdr>
          <w:top w:val="none" w:color="000000" w:sz="4" w:space="0"/>
          <w:left w:val="none" w:color="000000" w:sz="4" w:space="0"/>
          <w:bottom w:val="none" w:color="000000" w:sz="4" w:space="0"/>
          <w:right w:val="none" w:color="000000" w:sz="4" w:space="0"/>
        </w:pBdr>
        <w:spacing w:before="153"/>
        <w:ind w:right="0" w:firstLine="0" w:left="0"/>
        <w:rPr/>
      </w:pPr>
      <w:r>
        <w:rPr>
          <w:rFonts w:ascii="Times New Roman" w:hAnsi="Times New Roman" w:eastAsia="Times New Roman" w:cs="Times New Roman"/>
          <w:color w:val="000000"/>
          <w:sz w:val="24"/>
          <w:highlight w:val="white"/>
        </w:rPr>
        <w:t xml:space="preserve"> </w:t>
      </w:r>
      <w:r/>
    </w:p>
    <w:tbl>
      <w:tblPr>
        <w:tblStyle w:val="1049"/>
        <w:tblInd w:w="-66"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075"/>
        <w:gridCol w:w="920"/>
        <w:gridCol w:w="1560"/>
        <w:gridCol w:w="1701"/>
        <w:gridCol w:w="1100"/>
        <w:gridCol w:w="1515"/>
        <w:gridCol w:w="1700"/>
      </w:tblGrid>
      <w:tr>
        <w:trPr>
          <w:trHeight w:val="936"/>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10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Diện tích sàn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Đơn giá xây dựng mới (đồng/m² sàn)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Chi phí thay thế (đồng)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Tỷ lệ hao mòn (%)</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Giá trị hao mòn (đồng)</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Giá trị thẩm định tại thời điểm thẩm định giá (đồng)</w:t>
            </w:r>
            <w:r/>
          </w:p>
        </w:tc>
      </w:tr>
      <w:tr>
        <w:trPr>
          <w:trHeight w:val="30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107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(4) = (2) * (3)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15"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(6)=(4)*(5)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60" w:before="60"/>
              <w:ind w:right="0" w:firstLine="0" w:left="0"/>
              <w:jc w:val="center"/>
              <w:rPr/>
            </w:pPr>
            <w:r>
              <w:rPr>
                <w:rFonts w:ascii="Times New Roman" w:hAnsi="Times New Roman" w:eastAsia="Times New Roman" w:cs="Times New Roman"/>
                <w:b/>
                <w:color w:val="000000"/>
                <w:sz w:val="22"/>
                <w:highlight w:val="white"/>
              </w:rPr>
              <w:t xml:space="preserve">(7) = (4) - (6)</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107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2"/>
                <w:highlight w:val="white"/>
              </w:rPr>
              <w:t xml:space="preserve">Nhà 02 tầng +1 tum</w:t>
            </w:r>
            <w:r/>
          </w:p>
        </w:tc>
        <w:tc>
          <w:tcPr>
            <w:tcBorders>
              <w:bottom w:val="single" w:color="000000" w:sz="8" w:space="0"/>
              <w:right w:val="single" w:color="000000" w:sz="8" w:space="0"/>
            </w:tcBorders>
            <w:tcMar>
              <w:left w:w="108" w:type="dxa"/>
              <w:top w:w="0" w:type="dxa"/>
              <w:right w:w="108" w:type="dxa"/>
              <w:bottom w:w="0" w:type="dxa"/>
            </w:tcMar>
            <w:tcW w:w="920"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highlight w:val="white"/>
              </w:rPr>
              <w:t xml:space="preserve">160</w:t>
            </w:r>
            <w:r/>
          </w:p>
        </w:tc>
        <w:tc>
          <w:tcPr>
            <w:tcBorders>
              <w:bottom w:val="single" w:color="000000" w:sz="8" w:space="0"/>
              <w:right w:val="single" w:color="000000" w:sz="8" w:space="0"/>
            </w:tcBorders>
            <w:tcMar>
              <w:left w:w="108" w:type="dxa"/>
              <w:top w:w="0" w:type="dxa"/>
              <w:right w:w="108" w:type="dxa"/>
              <w:bottom w:w="0" w:type="dxa"/>
            </w:tcMar>
            <w:tcW w:w="1560"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4"/>
              </w:rPr>
              <w:t xml:space="preserve">7.934.760</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2"/>
                <w:highlight w:val="white"/>
              </w:rPr>
              <w:t xml:space="preserve">1.269.561.600   </w:t>
            </w:r>
            <w:r/>
          </w:p>
        </w:tc>
        <w:tc>
          <w:tcPr>
            <w:tcBorders>
              <w:bottom w:val="single" w:color="000000" w:sz="8" w:space="0"/>
              <w:right w:val="single" w:color="000000" w:sz="8" w:space="0"/>
            </w:tcBorders>
            <w:tcMar>
              <w:left w:w="108" w:type="dxa"/>
              <w:top w:w="0" w:type="dxa"/>
              <w:right w:w="108" w:type="dxa"/>
              <w:bottom w:w="0" w:type="dxa"/>
            </w:tcMar>
            <w:tcW w:w="110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2"/>
                <w:highlight w:val="white"/>
              </w:rPr>
              <w:t xml:space="preserve">17%</w:t>
            </w:r>
            <w:r/>
          </w:p>
        </w:tc>
        <w:tc>
          <w:tcPr>
            <w:tcBorders>
              <w:bottom w:val="single" w:color="000000" w:sz="8" w:space="0"/>
              <w:right w:val="single" w:color="000000" w:sz="8" w:space="0"/>
            </w:tcBorders>
            <w:tcMar>
              <w:left w:w="108" w:type="dxa"/>
              <w:top w:w="0" w:type="dxa"/>
              <w:right w:w="108" w:type="dxa"/>
              <w:bottom w:w="0" w:type="dxa"/>
            </w:tcMar>
            <w:tcW w:w="1515" w:type="dxa"/>
            <w:vAlign w:val="center"/>
            <w:textDirection w:val="lrTb"/>
            <w:noWrap/>
          </w:tcPr>
          <w:p>
            <w:pPr>
              <w:pBdr>
                <w:top w:val="none" w:color="000000" w:sz="4" w:space="0"/>
                <w:left w:val="none" w:color="000000" w:sz="4" w:space="0"/>
                <w:bottom w:val="none" w:color="000000" w:sz="4" w:space="0"/>
                <w:right w:val="none" w:color="000000" w:sz="4" w:space="0"/>
              </w:pBdr>
              <w:spacing w:after="60" w:before="60"/>
              <w:ind w:right="0" w:firstLine="0" w:left="0"/>
              <w:jc w:val="center"/>
              <w:rPr/>
            </w:pPr>
            <w:r>
              <w:rPr>
                <w:rFonts w:ascii="Times New Roman" w:hAnsi="Times New Roman" w:eastAsia="Times New Roman" w:cs="Times New Roman"/>
                <w:color w:val="000000"/>
                <w:sz w:val="22"/>
                <w:highlight w:val="white"/>
              </w:rPr>
              <w:t xml:space="preserve">    </w:t>
            </w:r>
            <w:r>
              <w:rPr>
                <w:rFonts w:ascii="Times New Roman" w:hAnsi="Times New Roman" w:eastAsia="Times New Roman" w:cs="Times New Roman"/>
                <w:color w:val="000000"/>
                <w:sz w:val="22"/>
              </w:rPr>
              <w:t xml:space="preserve">215.825.472</w:t>
            </w:r>
            <w:r>
              <w:rPr>
                <w:rFonts w:ascii="Times New Roman" w:hAnsi="Times New Roman" w:eastAsia="Times New Roman" w:cs="Times New Roman"/>
                <w:color w:val="000000"/>
                <w:sz w:val="22"/>
                <w:highlight w:val="white"/>
              </w:rPr>
              <w:t xml:space="preserve"> </w:t>
            </w:r>
            <w:r/>
          </w:p>
        </w:tc>
        <w:tc>
          <w:tcPr>
            <w:tcBorders>
              <w:bottom w:val="single" w:color="000000" w:sz="8" w:space="0"/>
              <w:right w:val="single" w:color="000000" w:sz="8" w:space="0"/>
            </w:tcBorders>
            <w:tcMar>
              <w:left w:w="108" w:type="dxa"/>
              <w:top w:w="0" w:type="dxa"/>
              <w:right w:w="108" w:type="dxa"/>
              <w:bottom w:w="0" w:type="dxa"/>
            </w:tcMar>
            <w:tcW w:w="170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1.053.736.128</w:t>
            </w:r>
            <w:r/>
          </w:p>
        </w:tc>
      </w:tr>
    </w:tbl>
    <w:p>
      <w:pPr>
        <w:numPr>
          <w:ilvl w:val="0"/>
          <w:numId w:val="45"/>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b/>
          <w:color w:val="000000"/>
          <w:sz w:val="24"/>
        </w:rPr>
        <w:t xml:space="preserve">Kết quả thẩm định giá:</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Dựa trên các lập luận trên, Tổ thẩm định ước tính giá trị tài sản thẩm định giá chưa bao gồm các loại thuế, phí và lệ phí liên quan đến việc chuyển nhượng tài sản tại thời điểm thẩm định giá Tháng 9/2026 ước tính như sau:</w:t>
      </w:r>
      <w:r/>
    </w:p>
    <w:tbl>
      <w:tblPr>
        <w:tblStyle w:val="1049"/>
        <w:tblInd w:w="-5" w:type="dxa"/>
        <w:tblW w:w="49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97"/>
        <w:gridCol w:w="2349"/>
        <w:gridCol w:w="1456"/>
        <w:gridCol w:w="1489"/>
        <w:gridCol w:w="1526"/>
        <w:gridCol w:w="1790"/>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23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4"/>
              </w:rPr>
              <w:t xml:space="preserve">Hệ số/CLCL</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79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1766"/>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01 </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8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both"/>
              <w:rPr/>
            </w:pPr>
            <w:r>
              <w:rPr>
                <w:rFonts w:ascii="Times New Roman" w:hAnsi="Times New Roman" w:eastAsia="Times New Roman" w:cs="Times New Roman"/>
                <w:b/>
                <w:color w:val="000000"/>
                <w:sz w:val="24"/>
              </w:rPr>
              <w:t xml:space="preserve">Quyền sử dụng đất tại thửa đất số: 512, tờ bản đồ số: ./., có địa chỉ: Thôn Dương Ổ, xã Phong Khê, huyện Yên Phong, tỉnh Bắc Ninh (</w:t>
            </w:r>
            <w:r>
              <w:rPr>
                <w:rFonts w:ascii="Times New Roman" w:hAnsi="Times New Roman" w:eastAsia="Times New Roman" w:cs="Times New Roman"/>
                <w:b/>
                <w:i/>
                <w:color w:val="000000"/>
                <w:sz w:val="24"/>
              </w:rPr>
              <w:t xml:space="preserve">nay là phường Võ Cường, thành phố Bắc Ninh</w:t>
            </w:r>
            <w:r>
              <w:rPr>
                <w:rFonts w:ascii="Times New Roman" w:hAnsi="Times New Roman" w:eastAsia="Times New Roman" w:cs="Times New Roman"/>
                <w:b/>
                <w:color w:val="000000"/>
                <w:sz w:val="24"/>
              </w:rPr>
              <w:t xml:space="preserve">) theo Giấy chứng nhận quyền sử dụng đất số: R 461077, Số vào sổ cấp GCN: 00177/QSDĐ/1201 do UBND huyện Yên Phong cấp ngày 10/10/2002; Chủ sử dụng đất là Ông Nguyễn Văn Vương.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right"/>
              <w:rPr/>
            </w:pPr>
            <w:r>
              <w:rPr>
                <w:rFonts w:ascii="Times New Roman" w:hAnsi="Times New Roman" w:eastAsia="Times New Roman" w:cs="Times New Roman"/>
                <w:b/>
                <w:color w:val="000000"/>
                <w:sz w:val="24"/>
              </w:rPr>
              <w:t xml:space="preserve">5.460.000.000 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rPr/>
            </w:pPr>
            <w:r>
              <w:rPr>
                <w:rFonts w:ascii="Times New Roman" w:hAnsi="Times New Roman" w:eastAsia="Times New Roman" w:cs="Times New Roman"/>
                <w:b/>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center"/>
              <w:rPr/>
            </w:pPr>
            <w:r>
              <w:rPr>
                <w:rFonts w:ascii="Times New Roman" w:hAnsi="Times New Roman" w:eastAsia="Times New Roman" w:cs="Times New Roman"/>
                <w:color w:val="000000"/>
                <w:sz w:val="24"/>
              </w:rPr>
              <w:t xml:space="preserve">210,0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26.000.000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5.460.000.000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02</w:t>
            </w:r>
            <w:r/>
          </w:p>
        </w:tc>
        <w:tc>
          <w:tcPr>
            <w:gridSpan w:val="4"/>
            <w:shd w:val="clear" w:color="ffffff" w:fill="ffffff"/>
            <w:tcBorders>
              <w:bottom w:val="single" w:color="000000" w:sz="8" w:space="0"/>
              <w:right w:val="single" w:color="000000" w:sz="8" w:space="0"/>
            </w:tcBorders>
            <w:tcMar>
              <w:left w:w="108" w:type="dxa"/>
              <w:top w:w="0" w:type="dxa"/>
              <w:right w:w="108" w:type="dxa"/>
              <w:bottom w:w="0" w:type="dxa"/>
            </w:tcMar>
            <w:tcW w:w="682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both"/>
              <w:rPr/>
            </w:pPr>
            <w:r>
              <w:rPr>
                <w:rFonts w:ascii="Times New Roman" w:hAnsi="Times New Roman" w:eastAsia="Times New Roman" w:cs="Times New Roman"/>
                <w:b/>
                <w:color w:val="000000"/>
                <w:sz w:val="24"/>
              </w:rPr>
              <w:t xml:space="preserve">Quyền sử dụng đất và tài sản gắn liền với đất tại thửa đất số: 462, tờ bản đồ số: 24, có địa chỉ: Thôn Dương Ổ, xã Phong Khê, huyện Yên Phong, tỉnh Bắc </w:t>
            </w:r>
            <w:r>
              <w:rPr>
                <w:rFonts w:ascii="Times New Roman" w:hAnsi="Times New Roman" w:eastAsia="Times New Roman" w:cs="Times New Roman"/>
                <w:b/>
                <w:i/>
                <w:color w:val="000000"/>
                <w:sz w:val="24"/>
              </w:rPr>
              <w:t xml:space="preserve">Ninh  (nay là Phường Võ Cường, thành phố Bắc Ninh)</w:t>
            </w:r>
            <w:r>
              <w:rPr>
                <w:rFonts w:ascii="Times New Roman" w:hAnsi="Times New Roman" w:eastAsia="Times New Roman" w:cs="Times New Roman"/>
                <w:b/>
                <w:color w:val="000000"/>
                <w:sz w:val="24"/>
              </w:rPr>
              <w:t xml:space="preserve"> theo Giấy chứng nhận quyền sử dụng đất số: X 399916, Số vào sổ cấp GCN: 00273 QSDĐ/285 do UBND huyện Yên Phong cấp ngày 22/03/2003; Chủ sử dụng đất là </w:t>
            </w:r>
            <w:r>
              <w:rPr>
                <w:rFonts w:ascii="Times New Roman" w:hAnsi="Times New Roman" w:eastAsia="Times New Roman" w:cs="Times New Roman"/>
                <w:b/>
                <w:color w:val="ff0000"/>
                <w:sz w:val="24"/>
              </w:rPr>
              <w:t xml:space="preserve">Hộ Ông </w:t>
            </w:r>
            <w:r>
              <w:rPr>
                <w:rFonts w:ascii="Times New Roman" w:hAnsi="Times New Roman" w:eastAsia="Times New Roman" w:cs="Times New Roman"/>
                <w:b/>
                <w:color w:val="000000"/>
                <w:sz w:val="24"/>
              </w:rPr>
              <w:t xml:space="preserve">Nguyễn Văn Vương.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b/>
                <w:color w:val="000000"/>
                <w:sz w:val="24"/>
              </w:rPr>
              <w:t xml:space="preserve">3.909.736.128</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rPr/>
            </w:pPr>
            <w:r>
              <w:rPr>
                <w:rFonts w:ascii="Times New Roman" w:hAnsi="Times New Roman" w:eastAsia="Times New Roman" w:cs="Times New Roman"/>
                <w:b/>
                <w:color w:val="000000"/>
                <w:sz w:val="24"/>
              </w:rPr>
              <w:t xml:space="preserve">Đất ở nông thôn</w:t>
            </w:r>
            <w:r/>
          </w:p>
        </w:tc>
        <w:tc>
          <w:tcPr>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center"/>
              <w:rPr/>
            </w:pPr>
            <w:r>
              <w:rPr>
                <w:rFonts w:ascii="Times New Roman" w:hAnsi="Times New Roman" w:eastAsia="Times New Roman" w:cs="Times New Roman"/>
                <w:color w:val="000000"/>
                <w:sz w:val="24"/>
              </w:rPr>
              <w:t xml:space="preserve">102,0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28.000.000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color w:val="000000"/>
                <w:sz w:val="24"/>
              </w:rPr>
              <w:t xml:space="preserve">100%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2.856.000.000</w:t>
            </w:r>
            <w:r/>
          </w:p>
        </w:tc>
      </w:tr>
      <w:tr>
        <w:trPr>
          <w:trHeight w:val="1133"/>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79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center"/>
              <w:rPr/>
            </w:pPr>
            <w:r>
              <w:rPr>
                <w:rFonts w:ascii="Times New Roman" w:hAnsi="Times New Roman" w:eastAsia="Times New Roman" w:cs="Times New Roman"/>
                <w:color w:val="000000"/>
                <w:sz w:val="24"/>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234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40" w:before="40" w:line="360" w:lineRule="auto"/>
              <w:ind w:right="0" w:firstLine="0" w:left="0"/>
              <w:jc w:val="both"/>
              <w:rPr/>
            </w:pPr>
            <w:r>
              <w:rPr>
                <w:rFonts w:ascii="Times New Roman" w:hAnsi="Times New Roman" w:eastAsia="Times New Roman" w:cs="Times New Roman"/>
                <w:b/>
                <w:color w:val="000000"/>
                <w:sz w:val="24"/>
              </w:rPr>
              <w:t xml:space="preserve">Công trình xây dựng trên đất (Nhà 02 tầng + 01 tum).</w:t>
            </w:r>
            <w:r/>
          </w:p>
        </w:tc>
        <w:tc>
          <w:tcPr>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center"/>
              <w:rPr/>
            </w:pPr>
            <w:r>
              <w:rPr>
                <w:rFonts w:ascii="Times New Roman" w:hAnsi="Times New Roman" w:eastAsia="Times New Roman" w:cs="Times New Roman"/>
                <w:color w:val="000000"/>
                <w:sz w:val="24"/>
              </w:rPr>
              <w:t xml:space="preserve">160,0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8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7.934.760 </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4"/>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2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color w:val="000000"/>
                <w:sz w:val="24"/>
              </w:rPr>
              <w:t xml:space="preserve">83%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790"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1.053.736.128</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617" w:type="dxa"/>
            <w:vAlign w:val="center"/>
            <w:textDirection w:val="lrTb"/>
            <w:noWrap/>
          </w:tcPr>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ff0000"/>
                <w:sz w:val="24"/>
              </w:rPr>
              <w:t xml:space="preserve">TỔNG CỘNG:</w:t>
            </w:r>
            <w:r/>
          </w:p>
        </w:tc>
        <w:tc>
          <w:tcPr>
            <w:tcBorders>
              <w:bottom w:val="single" w:color="000000" w:sz="8" w:space="0"/>
              <w:right w:val="single" w:color="000000" w:sz="8" w:space="0"/>
            </w:tcBorders>
            <w:tcMar>
              <w:left w:w="108" w:type="dxa"/>
              <w:top w:w="0" w:type="dxa"/>
              <w:right w:w="108" w:type="dxa"/>
              <w:bottom w:w="0" w:type="dxa"/>
            </w:tcMar>
            <w:tcW w:w="179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center"/>
              <w:rPr/>
            </w:pPr>
            <w:r>
              <w:rPr>
                <w:rFonts w:ascii="Times New Roman" w:hAnsi="Times New Roman" w:eastAsia="Times New Roman" w:cs="Times New Roman"/>
                <w:b/>
                <w:color w:val="ff0000"/>
                <w:sz w:val="24"/>
              </w:rPr>
              <w:t xml:space="preserve">9.369.736.128</w:t>
            </w:r>
            <w:r/>
          </w:p>
        </w:tc>
      </w:tr>
      <w:tr>
        <w:trPr>
          <w:trHeight w:val="20"/>
        </w:trPr>
        <w:tc>
          <w:tcPr>
            <w:gridSpan w:val="5"/>
            <w:tcBorders>
              <w:left w:val="single" w:color="000000" w:sz="8" w:space="0"/>
              <w:bottom w:val="single" w:color="000000" w:sz="8" w:space="0"/>
              <w:right w:val="single" w:color="000000" w:sz="8" w:space="0"/>
            </w:tcBorders>
            <w:tcMar>
              <w:left w:w="108" w:type="dxa"/>
              <w:top w:w="0" w:type="dxa"/>
              <w:right w:w="108" w:type="dxa"/>
              <w:bottom w:w="0" w:type="dxa"/>
            </w:tcMar>
            <w:tcW w:w="7617" w:type="dxa"/>
            <w:vAlign w:val="center"/>
            <w:textDirection w:val="lrTb"/>
            <w:noWrap/>
          </w:tcPr>
          <w:p>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4"/>
              </w:rPr>
              <w:t xml:space="preserve">LÀM TRÒN:</w:t>
            </w:r>
            <w:r/>
          </w:p>
        </w:tc>
        <w:tc>
          <w:tcPr>
            <w:tcBorders>
              <w:bottom w:val="single" w:color="000000" w:sz="8" w:space="0"/>
              <w:right w:val="single" w:color="000000" w:sz="8" w:space="0"/>
            </w:tcBorders>
            <w:tcMar>
              <w:left w:w="108" w:type="dxa"/>
              <w:top w:w="0" w:type="dxa"/>
              <w:right w:w="108" w:type="dxa"/>
              <w:bottom w:w="0" w:type="dxa"/>
            </w:tcMar>
            <w:tcW w:w="1790" w:type="dxa"/>
            <w:vAlign w:val="center"/>
            <w:textDirection w:val="lrTb"/>
            <w:noWrap/>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center"/>
              <w:rPr/>
            </w:pPr>
            <w:r>
              <w:rPr>
                <w:rFonts w:ascii="Times New Roman" w:hAnsi="Times New Roman" w:eastAsia="Times New Roman" w:cs="Times New Roman"/>
                <w:b/>
                <w:color w:val="000000"/>
                <w:sz w:val="24"/>
              </w:rPr>
              <w:t xml:space="preserve">  9.369.000.000</w:t>
            </w:r>
            <w:r/>
          </w:p>
        </w:tc>
      </w:tr>
      <w:tr>
        <w:trPr>
          <w:trHeight w:val="20"/>
        </w:trPr>
        <w:tc>
          <w:tcPr>
            <w:gridSpan w:val="6"/>
            <w:tcBorders>
              <w:left w:val="single" w:color="000000" w:sz="8" w:space="0"/>
              <w:bottom w:val="single" w:color="000000" w:sz="8" w:space="0"/>
              <w:right w:val="single" w:color="000000" w:sz="8" w:space="0"/>
            </w:tcBorders>
            <w:tcMar>
              <w:left w:w="108" w:type="dxa"/>
              <w:top w:w="0" w:type="dxa"/>
              <w:right w:w="108" w:type="dxa"/>
              <w:bottom w:w="0" w:type="dxa"/>
            </w:tcMar>
            <w:tcW w:w="9407"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360" w:lineRule="auto"/>
              <w:ind w:right="0" w:firstLine="0" w:left="0"/>
              <w:jc w:val="center"/>
              <w:rPr/>
            </w:pPr>
            <w:r>
              <w:rPr>
                <w:rFonts w:ascii="Times New Roman" w:hAnsi="Times New Roman" w:eastAsia="Times New Roman" w:cs="Times New Roman"/>
                <w:b/>
                <w:i/>
                <w:color w:val="000000"/>
                <w:sz w:val="24"/>
              </w:rPr>
              <w:t xml:space="preserve">(Bằng chữ: Chín tỷ, ba trăm sáu mươi chín triệu đồng chẵn/.)</w:t>
            </w:r>
            <w:r/>
          </w:p>
        </w:tc>
      </w:tr>
    </w:tbl>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z w:val="24"/>
        </w:rPr>
        <w:t xml:space="preserve">IX. THỜI HẠN HIỆU LỰC CỦA KẾT QUẢ THẨM ĐỊNH GIÁ</w:t>
      </w:r>
      <w:r/>
    </w:p>
    <w:p>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Tối đa 06 (sáu) tháng tính từ ngày ký đối với tài sản là Bất động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pacing w:val="-4"/>
          <w:sz w:val="24"/>
        </w:rPr>
        <w:t xml:space="preserve">X. TUYÊN BỐ CHUNG VÀ MIỄN TRỪ TRÁCH NHIỆM</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Công ty Cổ phần Thẩm định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thẩm định gi</w:t>
      </w:r>
      <w:r>
        <w:rPr>
          <w:rFonts w:ascii="Times New Roman" w:hAnsi="Times New Roman" w:eastAsia="Times New Roman" w:cs="Times New Roman"/>
          <w:color w:val="000000"/>
          <w:sz w:val="24"/>
        </w:rPr>
        <w:t xml:space="preserve">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Chứng thư, Báo cáo này được soạn thảo theo Hợp đồng được ký kết và tuân theo các điều khoản được nêu trong Hợp đồng. Chứng thư, báo cáo này chỉ nhằm phục vụ cho mục đích sử dụng được nêu trong Báo cáo và không nhằm mục đích sử dụng cho bất kỳ bên nào khác </w:t>
      </w:r>
      <w:r>
        <w:rPr>
          <w:rFonts w:ascii="Times New Roman" w:hAnsi="Times New Roman" w:eastAsia="Times New Roman" w:cs="Times New Roman"/>
          <w:color w:val="000000"/>
          <w:sz w:val="24"/>
        </w:rPr>
        <w:t xml:space="preserve">không được đề cập đến trong Hợp đồng (gọi tắt là “các bên liên quan”).</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Các bên liên quan khi đọc và thực hiện sử dụng sản phẩm tư vấn này, tức là đã chấp nhận và đồng ý với những điều khoản sau:</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Sản phẩm tư vấn của Chúng tôi chỉ nhằm mục đích duy nhất đã ghi tại Mục 4 của Chứng thư mà không nhằm bất kỳ mục đích nào khác và mọi hành động khách hàng thực hiện đều thuộc quyết định cuối cùng của Quý Khách hàng và các bên liên quan tham gia giao dịch (</w:t>
      </w:r>
      <w:r>
        <w:rPr>
          <w:rFonts w:ascii="Times New Roman" w:hAnsi="Times New Roman" w:eastAsia="Times New Roman" w:cs="Times New Roman"/>
          <w:color w:val="000000"/>
          <w:sz w:val="24"/>
        </w:rPr>
        <w:t xml:space="preserve">nếu có), bao gồm cả việc xem xét các vấn đề nằm ngoài phạm vi công việc của Chúng tôi như Quý Khách hàng đã biết, và không nên sử dụng cho bất kỳ mục đích nào khác. Nếu Quý Khách hàng thực hiện cung cấp cho các bên liên quan nào khác để nhằm thực hiện bất </w:t>
      </w:r>
      <w:r>
        <w:rPr>
          <w:rFonts w:ascii="Times New Roman" w:hAnsi="Times New Roman" w:eastAsia="Times New Roman" w:cs="Times New Roman"/>
          <w:color w:val="000000"/>
          <w:sz w:val="24"/>
        </w:rPr>
        <w:t xml:space="preserve">kỳ mục đích nào thì mọi trách nhiệm có liên quan đều thuộc Quý Khách hàng và các bên liên quan đó tham gia vào các giao dịch có liên quan.</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trong hợp đồng hoặc ngoài hợp đồng (bao gồm nhưng không g</w:t>
      </w:r>
      <w:r>
        <w:rPr>
          <w:rFonts w:ascii="Times New Roman" w:hAnsi="Times New Roman" w:eastAsia="Times New Roman" w:cs="Times New Roman"/>
          <w:color w:val="000000"/>
          <w:sz w:val="24"/>
        </w:rPr>
        <w:t xml:space="preserve">iới hạn lỗi bất cẩn và vi phạm nghĩa vụ theo luật định) hoặc phát sinh trong bất kỳ trường hợp nào khác, và không chịu trách nhiệm đối với bất kỳ tổn thất, thiệt hại hay chi phí trong bất cứ hoàn cảnh nào phát sinh từ bất kỳ mục đích sử dụng Sản phẩm tư vấ</w:t>
      </w:r>
      <w:r>
        <w:rPr>
          <w:rFonts w:ascii="Times New Roman" w:hAnsi="Times New Roman" w:eastAsia="Times New Roman" w:cs="Times New Roman"/>
          <w:color w:val="000000"/>
          <w:sz w:val="24"/>
        </w:rPr>
        <w:t xml:space="preserve">n của các bên liên quan, hoặc do hậu quả của việc cung cấp Chứng thư, Báo cáo cho các bên liên quan.</w:t>
      </w:r>
      <w:r/>
    </w:p>
    <w:p>
      <w:pPr>
        <w:numPr>
          <w:ilvl w:val="0"/>
          <w:numId w:val="42"/>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Khách hàng hoặc bất kỳ bên nào khác sử dụng báo cáo này và bất kỳ hoạt động nào của bất kỳ bên liên quan nào có tham chiếu tới sản phẩm tư vấn này nếu có bất kỳ thắc mắc nào mà không có yêu cầu giải trình bằng văn bản gửi đến Lotus VFI trước 03 (ba) ngày l</w:t>
      </w:r>
      <w:r>
        <w:rPr>
          <w:rFonts w:ascii="Times New Roman" w:hAnsi="Times New Roman" w:eastAsia="Times New Roman" w:cs="Times New Roman"/>
          <w:color w:val="000000"/>
          <w:sz w:val="24"/>
        </w:rPr>
        <w:t xml:space="preserve">àm việc tính từ ngày báo cáo được tham chiếu hoặc sử dụng thì đều được coi là đã đọc, hiểu rõ toàn bộ nội dung sản phẩm tư vấn này và chấp nhận mục đích thẩm định giá, cơ sở giá trị, các giả định, các tính toán, các nội dung miễn trừ trách nhiệm, những điề</w:t>
      </w:r>
      <w:r>
        <w:rPr>
          <w:rFonts w:ascii="Times New Roman" w:hAnsi="Times New Roman" w:eastAsia="Times New Roman" w:cs="Times New Roman"/>
          <w:color w:val="000000"/>
          <w:sz w:val="24"/>
        </w:rPr>
        <w:t xml:space="preserve">u khoản loại trừ và hạn chế, kết quả thẩm định giá và toàn bộ giá trị đã được trình bày trên báo cáo này và được coi là đã đồng ý với toàn bộ nội dung của sản phẩm tư vấn đã được trình bày, đồng thời cam kết và đảm bảo không có bất kỳ khiếu lại nào có thể </w:t>
      </w:r>
      <w:r>
        <w:rPr>
          <w:rFonts w:ascii="Times New Roman" w:hAnsi="Times New Roman" w:eastAsia="Times New Roman" w:cs="Times New Roman"/>
          <w:color w:val="000000"/>
          <w:sz w:val="24"/>
        </w:rPr>
        <w:t xml:space="preserve">gây tổn hại đến danh dự, trách nhiệm pháp lý, nghĩa vụ kinh tế… của các cá nhân và tập thể Lotus VFI.</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b/>
          <w:color w:val="000000"/>
          <w:spacing w:val="-4"/>
          <w:sz w:val="24"/>
        </w:rPr>
        <w:t xml:space="preserve">XI. NHỮNG ĐIỀU KHOẢN LOẠI TRỪ VÀ HẠN CHẾ CỦA KẾT QUẢ THẨM ĐỊNH GIÁ</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Chứng thư này chỉ được cung cấp theo yêu cầu của khách hàng. Chỉ bản chính và bản sao Chứng thư thẩm định giá do Công ty Cổ phần Thẩm định và Đầu tư Tài chính Hoa Sen cấp mới có giá trị. Mọi hành vi sử dụng bản sao Chứng thư/Báo cáo kết quả thẩm định giá m</w:t>
      </w:r>
      <w:r>
        <w:rPr>
          <w:rFonts w:ascii="Times New Roman" w:hAnsi="Times New Roman" w:eastAsia="Times New Roman" w:cs="Times New Roman"/>
          <w:color w:val="000000"/>
          <w:sz w:val="24"/>
        </w:rPr>
        <w:t xml:space="preserve">à không có xác nhận của Công ty Cổ phần Thẩm định và Đầu tư Tài chính Hoa Sen đều vi phạm pháp luật và không có giá trị.</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Kết quả thẩm định giá trên chỉ xác nhận khi khách hàng hoàn tất các thủ tục pháp lý và nghĩa vụ tài chính liên quan đến tài sản thẩm định theo quy định của pháp luật hiện hành.</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Các phương pháp tính toán trên cơ sở tài liệu được cung cấp bởi khách hàng và dựa trên các tài liệu khác có liên quan do tổ thẩm định thu thập, cũng như các điều kiện và kỳ vọng tại thời điểm thẩm định giá phù hợp với các luật định, chính sách quản lý của </w:t>
      </w:r>
      <w:r>
        <w:rPr>
          <w:rFonts w:ascii="Times New Roman" w:hAnsi="Times New Roman" w:eastAsia="Times New Roman" w:cs="Times New Roman"/>
          <w:color w:val="000000"/>
          <w:sz w:val="24"/>
        </w:rPr>
        <w:t xml:space="preserve">Nhà nước hiện hành và các điều kiện, giả định theo quan điểm hợp lý của tổ thẩm định kèm theo báo cáo này. Một số vấn đề, sự kiện tương lai không có khả năng tính toán chính xác, hoặc nằm ngoài phạm vi chuyên môn nên cần vận dụng các giả định cho việc thẩm</w:t>
      </w:r>
      <w:r>
        <w:rPr>
          <w:rFonts w:ascii="Times New Roman" w:hAnsi="Times New Roman" w:eastAsia="Times New Roman" w:cs="Times New Roman"/>
          <w:color w:val="000000"/>
          <w:sz w:val="24"/>
        </w:rPr>
        <w:t xml:space="preserve"> định giá này, tổ thẩm định không đảm bảo là các giả định làm cơ sở thẩm định giá là chính xác hoàn toàn.</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2"/>
          <w:sz w:val="24"/>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việc phát sinh sử dụng khác của </w:t>
      </w:r>
      <w:r>
        <w:rPr>
          <w:rFonts w:ascii="Times New Roman" w:hAnsi="Times New Roman" w:eastAsia="Times New Roman" w:cs="Times New Roman"/>
          <w:color w:val="000000"/>
          <w:spacing w:val="2"/>
          <w:sz w:val="24"/>
        </w:rPr>
        <w:t xml:space="preserve">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và hợp lý. Công ty Cổ phần Th</w:t>
      </w:r>
      <w:r>
        <w:rPr>
          <w:rFonts w:ascii="Times New Roman" w:hAnsi="Times New Roman" w:eastAsia="Times New Roman" w:cs="Times New Roman"/>
          <w:color w:val="000000"/>
          <w:spacing w:val="2"/>
          <w:sz w:val="24"/>
        </w:rPr>
        <w:t xml:space="preserve">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Khách hàng yêu cầu thẩm định giá và người hướng dẫn tổ thẩm định thực hiện thẩm định hiện trạng tài sản phải chịu hoàn toàn trách nhiệm về thông tin liên quan đến đặc điểm kinh tế - kỹ thuật, tính năng và tính pháp lý của tài sản thẩm định giá đã cung cấp </w:t>
      </w:r>
      <w:r>
        <w:rPr>
          <w:rFonts w:ascii="Times New Roman" w:hAnsi="Times New Roman" w:eastAsia="Times New Roman" w:cs="Times New Roman"/>
          <w:color w:val="000000"/>
          <w:sz w:val="24"/>
        </w:rPr>
        <w:t xml:space="preserve">cho Công ty Cổ phần Thẩm định và Đầu tư Tài chính Hoa Sen tại thời điểm và địa điểm thẩm định giá.</w:t>
      </w:r>
      <w:r/>
    </w:p>
    <w:p>
      <w:pPr>
        <w:numPr>
          <w:ilvl w:val="0"/>
          <w:numId w:val="48"/>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highlight w:val="white"/>
        </w:rPr>
        <w:t xml:space="preserve">Chúng tôi nhấn mạnh rằng việc thẩm định giá không phải là môn khoa học chính xác, mà là kết luận đưa ra trong nhiều trường hợp sẽ mang tính chủ quan và phụ thuộc vào đánh giá cá nhân. Vì thế, chúng tôi đưa ra giá trị tài sản thẩm định là giá trị ước tính. </w:t>
      </w:r>
      <w:r>
        <w:rPr>
          <w:rFonts w:ascii="Times New Roman" w:hAnsi="Times New Roman" w:eastAsia="Times New Roman" w:cs="Times New Roman"/>
          <w:color w:val="000000"/>
          <w:sz w:val="24"/>
          <w:highlight w:val="white"/>
        </w:rPr>
        <w:t xml:space="preserve">Giá trị ước tính này không nhất thiết phải trùng khớp với giá trị dùng để giao dịch.</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highlight w:val="white"/>
        </w:rPr>
        <w:t xml:space="preserve">Chúng tôi chỉ hoạt động trong lĩnh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w:t>
      </w:r>
      <w:r>
        <w:rPr>
          <w:rFonts w:ascii="Times New Roman" w:hAnsi="Times New Roman" w:eastAsia="Times New Roman" w:cs="Times New Roman"/>
          <w:color w:val="000000"/>
          <w:sz w:val="24"/>
          <w:highlight w:val="white"/>
        </w:rPr>
        <w:t xml:space="preserve">ch, số ô, số thửa, tờ bản đồ theo </w:t>
      </w:r>
      <w:r>
        <w:rPr>
          <w:rFonts w:ascii="Times New Roman" w:hAnsi="Times New Roman" w:eastAsia="Times New Roman" w:cs="Times New Roman"/>
          <w:color w:val="000000"/>
          <w:sz w:val="24"/>
        </w:rPr>
        <w:t xml:space="preserve">Giấy chứng nhận quyền sử dụng đất  đã cung cấp cho chúng tôi.</w:t>
      </w:r>
      <w:r/>
    </w:p>
    <w:p>
      <w:pPr>
        <w:numPr>
          <w:ilvl w:val="0"/>
          <w:numId w:val="48"/>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w:t>
      </w:r>
      <w:r>
        <w:rPr>
          <w:rFonts w:ascii="Times New Roman" w:hAnsi="Times New Roman" w:eastAsia="Times New Roman" w:cs="Times New Roman"/>
          <w:color w:val="000000"/>
          <w:sz w:val="24"/>
        </w:rPr>
        <w:t xml:space="preserve"> trừ mọi trách nhiệm phát sinh, liên đới (nếu có) trong trường hợp này.</w:t>
      </w:r>
      <w:r/>
    </w:p>
    <w:p>
      <w:pPr>
        <w:numPr>
          <w:ilvl w:val="0"/>
          <w:numId w:val="46"/>
        </w:numPr>
        <w:pBdr>
          <w:top w:val="none" w:color="000000" w:sz="4" w:space="0"/>
          <w:left w:val="none" w:color="000000" w:sz="4" w:space="0"/>
          <w:bottom w:val="none" w:color="000000" w:sz="4" w:space="0"/>
          <w:right w:val="none" w:color="000000" w:sz="4" w:space="0"/>
        </w:pBdr>
        <w:spacing w:line="276" w:lineRule="auto"/>
        <w:ind/>
        <w:jc w:val="both"/>
        <w:rPr/>
      </w:pPr>
      <w:r>
        <w:rPr>
          <w:rFonts w:ascii="Times New Roman" w:hAnsi="Times New Roman" w:eastAsia="Times New Roman" w:cs="Times New Roman"/>
          <w:color w:val="000000"/>
          <w:sz w:val="24"/>
        </w:rPr>
        <w:t xml:space="preserve">Tại thời điểm khảo sát, dưới sự hướng dẫn của chủ tài sản, trên đất có CTXD 01 </w:t>
      </w:r>
      <w:r>
        <w:rPr>
          <w:rFonts w:ascii="Times New Roman" w:hAnsi="Times New Roman" w:eastAsia="Times New Roman" w:cs="Times New Roman"/>
          <w:color w:val="ff0000"/>
          <w:sz w:val="24"/>
        </w:rPr>
        <w:t xml:space="preserve">Nhà 02 tầng</w:t>
      </w:r>
      <w:r>
        <w:rPr>
          <w:rFonts w:ascii="Times New Roman" w:hAnsi="Times New Roman" w:eastAsia="Times New Roman" w:cs="Times New Roman"/>
          <w:color w:val="000000"/>
          <w:sz w:val="24"/>
        </w:rPr>
        <w:t xml:space="preserve">; và 02 nhà cấp 4. Công trình chưa được công nhận trên GCN QSDĐ số: R 461077. Đồng thời, Tổ thẩm định không nhận được bất kỳ hồ sơ pháp lý nào liên quan đến CTXD nêu trên. Do vậy, theo đề nghị của Ngân hàng/Khách hàng, Tổ thẩm định không xác định giá trị c</w:t>
      </w:r>
      <w:r>
        <w:rPr>
          <w:rFonts w:ascii="Times New Roman" w:hAnsi="Times New Roman" w:eastAsia="Times New Roman" w:cs="Times New Roman"/>
          <w:color w:val="000000"/>
          <w:sz w:val="24"/>
        </w:rPr>
        <w:t xml:space="preserve">ủa công trình xây dựng vào tổng giá trị, nhưng vẫn coi đó là phần không thể tách rời của tài sản thẩm định. Kính đề nghị đơn vị sử dụng kết quả lưu ý.</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Tại thời điểm khảo sát, dưới sự hướng dẫn của chủ tài sản, trên đất có CTXD Nhà 02 tầng + 1 tum, diện tích xây dựng khoảng 45,7m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diện tích sàn xây dựng khoảng 160m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xây dựng năm 2020. Công trình chưa được công nhận trên GCN QSDĐ số: X 399916. Tổ thẩm định thực hiện ước tính giá trị công trình xây dựng theo thực tế khảo sát được khách hàng hướng dẫn khảo sát và xác nhận. Việc ảnh hưởng của giá trị này (nếu có) do diệ</w:t>
      </w:r>
      <w:r>
        <w:rPr>
          <w:rFonts w:ascii="Times New Roman" w:hAnsi="Times New Roman" w:eastAsia="Times New Roman" w:cs="Times New Roman"/>
          <w:color w:val="000000"/>
          <w:sz w:val="24"/>
        </w:rPr>
        <w:t xml:space="preserve">n tích và hiện trạng của công trình xây dựng sai khác với hiện trạng, tổ thẩm định đã khảo sát và có sự xác nhận của khách hàng tại Biên bản khảo sát tài sản kèm theo chứng thư này nằm ngoài phạm vi trách nhiệm của chúng tôi. Khách hàng hoặc bên thứ ba khi</w:t>
      </w:r>
      <w:r>
        <w:rPr>
          <w:rFonts w:ascii="Times New Roman" w:hAnsi="Times New Roman" w:eastAsia="Times New Roman" w:cs="Times New Roman"/>
          <w:color w:val="000000"/>
          <w:sz w:val="24"/>
        </w:rPr>
        <w:t xml:space="preserve"> sử dụng chứng thư, báo cáo này cần lưu ý, cân nhắc thận trọng và chịu trách nhiệm hoàn toàn trước khi đưa ra quyết định cuối cùng.</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pacing w:val="-2"/>
          <w:sz w:val="24"/>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 còn lại của Công trình xây dựng của chúng tôi chỉ dựa vào c</w:t>
      </w:r>
      <w:r>
        <w:rPr>
          <w:rFonts w:ascii="Times New Roman" w:hAnsi="Times New Roman" w:eastAsia="Times New Roman" w:cs="Times New Roman"/>
          <w:color w:val="000000"/>
          <w:spacing w:val="-2"/>
          <w:sz w:val="24"/>
        </w:rPr>
        <w:t xml:space="preserve">ác văn bản pháp quy hiện hành và qua khảo sát thực tế độc lập, minh bạch dưới sự hướng dẫn khảo sát của các bên liên quan. Vì vậy, chất lượng còn lại của tài sản được trình bày trên báo cáo này chỉ mang tính ước lượng chủ quan của Chúng tôi và nó không nhấ</w:t>
      </w:r>
      <w:r>
        <w:rPr>
          <w:rFonts w:ascii="Times New Roman" w:hAnsi="Times New Roman" w:eastAsia="Times New Roman" w:cs="Times New Roman"/>
          <w:color w:val="000000"/>
          <w:spacing w:val="-2"/>
          <w:sz w:val="24"/>
        </w:rPr>
        <w:t xml:space="preserve">t thiết phải trùng khớp kết quả với bất kỳ bên thứ ba nào khác cùng đưa ra các đánh giá này. Việc ảnh hưởng của các ước lượng này (nếu có) nó không thuộc nghĩa vụ bắt buộc liên quan đến chúng tôi.</w:t>
      </w:r>
      <w:r/>
    </w:p>
    <w:p>
      <w:pPr>
        <w:numPr>
          <w:ilvl w:val="0"/>
          <w:numId w:val="46"/>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Tổ thẩm định giá sử dụng Phương pháp so sánh để xác định giá trị tài sản thẩm định giá trong đó  việc thu thập thông tin TSSS đã giao dịch thành công còn gặp nhiều hạn chế, vì vậy, Tổ thẩm định giá sử dụng các TSSS là các tài sản đang được rao bán trên thị</w:t>
      </w:r>
      <w:r>
        <w:rPr>
          <w:rFonts w:ascii="Times New Roman" w:hAnsi="Times New Roman" w:eastAsia="Times New Roman" w:cs="Times New Roman"/>
          <w:color w:val="000000"/>
          <w:sz w:val="24"/>
        </w:rPr>
        <w:t xml:space="preserve"> trường. Kết quả thẩm định giá có thể thay đổi khi các TSSS được giao dịch thành công. Khách hàng và các bên thứ ba khi sử dụng kết quả thẩm định giá cần lưu ý khi sử dụng Chứng thư thẩm định giá.</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Kết quả thẩm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w:t>
      </w:r>
      <w:r>
        <w:rPr>
          <w:rFonts w:ascii="Times New Roman" w:hAnsi="Times New Roman" w:eastAsia="Times New Roman" w:cs="Times New Roman"/>
          <w:color w:val="000000"/>
          <w:sz w:val="24"/>
        </w:rPr>
        <w:t xml:space="preserve">định giá.</w:t>
      </w:r>
      <w:r/>
    </w:p>
    <w:p>
      <w:pPr>
        <w:numPr>
          <w:ilvl w:val="0"/>
          <w:numId w:val="48"/>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u w:val="none"/>
        </w:rPr>
        <w:t xml:space="preserve">Tổ thẩm định đã gửi các bản dự thảo chứng thư cho các đơn vị sử dụng chứng thư đọc, xem xét, cân nhắc và quyết định ra bản chứng thư này, sau ngày phát hành chứng thư chúng tôi hiểu rằng tất cả các bên đã thống nhất với các giả định, giả thiết và hạn chế, </w:t>
      </w:r>
      <w:r>
        <w:rPr>
          <w:rFonts w:ascii="Times New Roman" w:hAnsi="Times New Roman" w:eastAsia="Times New Roman" w:cs="Times New Roman"/>
          <w:color w:val="000000"/>
          <w:sz w:val="24"/>
          <w:u w:val="none"/>
        </w:rPr>
        <w:t xml:space="preserve">kết quả…. và chấp nhận sử dụng tất cả nội dung được trình bày trong chứng thư này.</w:t>
      </w: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rPr/>
      </w:pPr>
      <w:r>
        <w:rPr>
          <w:rFonts w:ascii="Times New Roman" w:hAnsi="Times New Roman" w:eastAsia="Times New Roman" w:cs="Times New Roman"/>
          <w:b/>
          <w:color w:val="000000"/>
          <w:sz w:val="24"/>
        </w:rPr>
        <w:t xml:space="preserve">XII. CÁC PHỤ LỤC KÈM THEO </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Phụ lục 1: Hình ảnh hiện trạng của tài sản.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right="0" w:firstLine="0" w:left="0"/>
        <w:jc w:val="both"/>
        <w:rPr/>
      </w:pPr>
      <w:r>
        <w:rPr>
          <w:rFonts w:ascii="Times New Roman" w:hAnsi="Times New Roman" w:eastAsia="Times New Roman" w:cs="Times New Roman"/>
          <w:color w:val="000000"/>
          <w:sz w:val="24"/>
        </w:rPr>
        <w:t xml:space="preserve">Phụ lục 2: Thông tin thu thập thị trường.</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Báo cáo kết quả thẩm định giá được phát hành 03 (ba) bản chính bằng tiếng Việt kèm theo Chứng thư thẩm định giá số 275/2026/1398/VFI-CT.44.A ngày 09 tháng 9 năm 2026 tại Công ty Cổ phần Thẩm định và Đầu tư Tài chính Hoa Sen.</w:t>
      </w:r>
      <w:r/>
    </w:p>
    <w:p>
      <w:pPr>
        <w:pBdr>
          <w:top w:val="none" w:color="000000" w:sz="4" w:space="0"/>
          <w:left w:val="none" w:color="000000" w:sz="4" w:space="0"/>
          <w:bottom w:val="none" w:color="000000" w:sz="4" w:space="0"/>
          <w:right w:val="none" w:color="000000" w:sz="4" w:space="0"/>
        </w:pBdr>
        <w:tabs>
          <w:tab w:val="left" w:leader="none" w:pos="993"/>
        </w:tabs>
        <w:spacing w:after="120" w:before="120" w:line="288" w:lineRule="auto"/>
        <w:ind w:right="0" w:firstLine="0" w:left="0"/>
        <w:jc w:val="both"/>
        <w:rPr/>
      </w:pPr>
      <w:r>
        <w:rPr>
          <w:rFonts w:ascii="Times New Roman" w:hAnsi="Times New Roman" w:eastAsia="Times New Roman" w:cs="Times New Roman"/>
          <w:color w:val="000000"/>
          <w:sz w:val="24"/>
        </w:rPr>
        <w:t xml:space="preserve"> </w:t>
      </w:r>
      <w:r/>
    </w:p>
    <w:tbl>
      <w:tblPr>
        <w:tblStyle w:val="1049"/>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THẨM ĐỊNH VIÊN VỀ GIÁ</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CHỦ TỊCH HĐQT KIÊM TỔNG GIÁM ĐỐC</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Lê Thị Thịnh</w:t>
            </w:r>
            <w:r/>
          </w:p>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color w:val="000000"/>
                <w:sz w:val="24"/>
              </w:rPr>
              <w:t xml:space="preserve">Số thẻ thẩm định viên về giá: VIII13.990</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Vũ Văn Quân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Số thẻ thẩm định viên về giá: XII17.1825</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tbl>
      <w:tblPr>
        <w:tblStyle w:val="1049"/>
        <w:tblInd w:w="0" w:type="dxa"/>
        <w:tblW w:w="48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62"/>
        <w:gridCol w:w="4762"/>
      </w:tblGrid>
      <w:tr>
        <w:trPr>
          <w:trHeight w:val="20"/>
        </w:trPr>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TRỢ LÝ THẨM ĐỊNH VIÊN</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KIỂM SOÁT VIÊN</w:t>
            </w:r>
            <w:r/>
          </w:p>
        </w:tc>
      </w:tr>
      <w:tr>
        <w:trPr>
          <w:trHeight w:val="143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62" w:type="dxa"/>
            <w:vAlign w:val="bottom"/>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r>
      <w:tr>
        <w:trPr>
          <w:trHeight w:val="20"/>
        </w:trPr>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Lê Đình Duy</w:t>
            </w:r>
            <w:r/>
          </w:p>
        </w:tc>
        <w:tc>
          <w:tcPr>
            <w:tcBorders/>
            <w:tcMar>
              <w:left w:w="108" w:type="dxa"/>
              <w:top w:w="0" w:type="dxa"/>
              <w:right w:w="108" w:type="dxa"/>
              <w:bottom w:w="0" w:type="dxa"/>
            </w:tcMar>
            <w:tcW w:w="4762" w:type="dxa"/>
            <w:vAlign w:val="center"/>
            <w:textDirection w:val="lrTb"/>
            <w:noWrap w:val="false"/>
          </w:tcPr>
          <w:p>
            <w:pPr>
              <w:pBdr>
                <w:top w:val="none" w:color="000000" w:sz="4" w:space="0"/>
                <w:left w:val="none" w:color="000000" w:sz="4" w:space="0"/>
                <w:bottom w:val="none" w:color="000000" w:sz="4" w:space="0"/>
                <w:right w:val="none" w:color="000000" w:sz="4" w:space="0"/>
              </w:pBdr>
              <w:spacing w:line="239" w:lineRule="atLeast"/>
              <w:ind w:right="0" w:firstLine="0" w:left="0"/>
              <w:jc w:val="center"/>
              <w:rPr/>
            </w:pPr>
            <w:r>
              <w:rPr>
                <w:rFonts w:ascii="Times New Roman" w:hAnsi="Times New Roman" w:eastAsia="Times New Roman" w:cs="Times New Roman"/>
                <w:b/>
                <w:color w:val="000000"/>
                <w:sz w:val="24"/>
              </w:rPr>
              <w:t xml:space="preserve">Nguyễn Thị Thùy</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w: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br w:type="page" w:clear="all"/>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01</w:t>
      </w:r>
      <w:r>
        <w:rPr>
          <w:rFonts w:ascii="Times New Roman" w:hAnsi="Times New Roman" w:eastAsia="Times New Roman" w:cs="Times New Roman"/>
          <w:b/>
          <w:color w:val="000000"/>
          <w:sz w:val="24"/>
        </w:rPr>
        <w:t xml:space="preserve">: THÔNG TIN HIỆN TRẠNG VÀ PHÁP LÝ CỦA TÀI SẢN</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275/2026/1398/VFI-BC.44.</w:t>
      </w:r>
      <w:r>
        <w:rPr>
          <w:rFonts w:ascii="Times New Roman" w:hAnsi="Times New Roman" w:eastAsia="Times New Roman" w:cs="Times New Roman"/>
          <w:i/>
          <w:color w:val="ff0000"/>
          <w:sz w:val="24"/>
        </w:rPr>
        <w:t xml:space="preserve">A ngày 09 tháng 9 năm </w:t>
      </w:r>
      <w:r>
        <w:rPr>
          <w:rFonts w:ascii="Times New Roman" w:hAnsi="Times New Roman" w:eastAsia="Times New Roman" w:cs="Times New Roman"/>
          <w:i/>
          <w:color w:val="000000"/>
          <w:sz w:val="24"/>
        </w:rPr>
        <w:t xml:space="preserve">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THÔNG TIN HIỆN TRẠNG VÀ PHÁP LÝ CỦA TÀI SẢN 01</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3429000" cy="188823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26108" name=""/>
                              <pic:cNvPicPr>
                                <a:picLocks noChangeAspect="1"/>
                              </pic:cNvPicPr>
                              <pic:nvPr/>
                            </pic:nvPicPr>
                            <pic:blipFill rotWithShape="1">
                              <a:blip r:embed="rId22"/>
                              <a:stretch/>
                            </pic:blipFill>
                            <pic:spPr bwMode="auto">
                              <a:xfrm flipH="0" flipV="0">
                                <a:off x="0" y="0"/>
                                <a:ext cx="3429000" cy="18882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70.00pt;height:148.68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4229100" cy="202158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467124" name=""/>
                              <pic:cNvPicPr>
                                <a:picLocks noChangeAspect="1"/>
                              </pic:cNvPicPr>
                              <pic:nvPr/>
                            </pic:nvPicPr>
                            <pic:blipFill rotWithShape="1">
                              <a:blip r:embed="rId23"/>
                              <a:stretch/>
                            </pic:blipFill>
                            <pic:spPr bwMode="auto">
                              <a:xfrm flipH="0" flipV="0">
                                <a:off x="0" y="0"/>
                                <a:ext cx="4229100" cy="20215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33.00pt;height:159.18pt;mso-wrap-distance-left:0.00pt;mso-wrap-distance-top:0.00pt;mso-wrap-distance-right:0.00pt;mso-wrap-distance-bottom:0.00pt;z-index:1;" stroked="false">
                      <v:imagedata r:id="rId23"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4010025" cy="2360685"/>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08306" name=""/>
                              <pic:cNvPicPr>
                                <a:picLocks noChangeAspect="1"/>
                              </pic:cNvPicPr>
                              <pic:nvPr/>
                            </pic:nvPicPr>
                            <pic:blipFill rotWithShape="1">
                              <a:blip r:embed="rId24"/>
                              <a:stretch/>
                            </pic:blipFill>
                            <pic:spPr bwMode="auto">
                              <a:xfrm flipH="0" flipV="0">
                                <a:off x="0" y="0"/>
                                <a:ext cx="4010024" cy="23606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15.75pt;height:185.88pt;mso-wrap-distance-left:0.00pt;mso-wrap-distance-top:0.00pt;mso-wrap-distance-right:0.00pt;mso-wrap-distance-bottom:0.00pt;z-index:1;" stroked="false">
                      <v:imagedata r:id="rId24"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4267200" cy="2455934"/>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566481" name=""/>
                              <pic:cNvPicPr>
                                <a:picLocks noChangeAspect="1"/>
                              </pic:cNvPicPr>
                              <pic:nvPr/>
                            </pic:nvPicPr>
                            <pic:blipFill rotWithShape="1">
                              <a:blip r:embed="rId25"/>
                              <a:stretch/>
                            </pic:blipFill>
                            <pic:spPr bwMode="auto">
                              <a:xfrm flipH="0" flipV="0">
                                <a:off x="0" y="0"/>
                                <a:ext cx="4267199" cy="24559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36.00pt;height:193.38pt;mso-wrap-distance-left:0.00pt;mso-wrap-distance-top:0.00pt;mso-wrap-distance-right:0.00pt;mso-wrap-distance-bottom:0.00pt;z-index:1;" stroked="false">
                      <v:imagedata r:id="rId25"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4000500" cy="2237057"/>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777713" name=""/>
                              <pic:cNvPicPr>
                                <a:picLocks noChangeAspect="1"/>
                              </pic:cNvPicPr>
                              <pic:nvPr/>
                            </pic:nvPicPr>
                            <pic:blipFill rotWithShape="1">
                              <a:blip r:embed="rId26"/>
                              <a:stretch/>
                            </pic:blipFill>
                            <pic:spPr bwMode="auto">
                              <a:xfrm flipH="0" flipV="0">
                                <a:off x="0" y="0"/>
                                <a:ext cx="4000500" cy="223705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15.00pt;height:176.15pt;mso-wrap-distance-left:0.00pt;mso-wrap-distance-top:0.00pt;mso-wrap-distance-right:0.00pt;mso-wrap-distance-bottom:0.00pt;z-index:1;" stroked="false">
                      <v:imagedata r:id="rId26"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4019550" cy="2319210"/>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49951" name=""/>
                              <pic:cNvPicPr>
                                <a:picLocks noChangeAspect="1"/>
                              </pic:cNvPicPr>
                              <pic:nvPr/>
                            </pic:nvPicPr>
                            <pic:blipFill rotWithShape="1">
                              <a:blip r:embed="rId27"/>
                              <a:stretch/>
                            </pic:blipFill>
                            <pic:spPr bwMode="auto">
                              <a:xfrm flipH="0" flipV="0">
                                <a:off x="0" y="0"/>
                                <a:ext cx="4019549" cy="2319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16.50pt;height:182.61pt;mso-wrap-distance-left:0.00pt;mso-wrap-distance-top:0.00pt;mso-wrap-distance-right:0.00pt;mso-wrap-distance-bottom:0.00pt;z-index:1;" stroked="false">
                      <v:imagedata r:id="rId27"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mc:AlternateContent>
          <mc:Choice Requires="wpg">
            <w:drawing>
              <wp:inline xmlns:wp="http://schemas.openxmlformats.org/drawingml/2006/wordprocessingDrawing" distT="0" distB="0" distL="0" distR="0">
                <wp:extent cx="6048375" cy="3376783"/>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888403" name=""/>
                        <pic:cNvPicPr>
                          <a:picLocks noChangeAspect="1"/>
                        </pic:cNvPicPr>
                        <pic:nvPr/>
                      </pic:nvPicPr>
                      <pic:blipFill rotWithShape="1">
                        <a:blip r:embed="rId28"/>
                        <a:stretch/>
                      </pic:blipFill>
                      <pic:spPr bwMode="auto">
                        <a:xfrm>
                          <a:off x="0" y="0"/>
                          <a:ext cx="6048374" cy="33767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476.25pt;height:265.89pt;mso-wrap-distance-left:0.00pt;mso-wrap-distance-top:0.00pt;mso-wrap-distance-right:0.00pt;mso-wrap-distance-bottom:0.00pt;z-index:1;" stroked="false">
                <v:imagedata r:id="rId28" o:title=""/>
                <o:lock v:ext="edit" rotation="t"/>
              </v:shape>
            </w:pict>
          </mc:Fallback>
        </mc:AlternateContent>
      </w:r>
      <w:r>
        <w:rPr>
          <w:rFonts w:ascii="Times New Roman" w:hAnsi="Times New Roman" w:eastAsia="Times New Roman" w:cs="Times New Roman"/>
          <w:color w:val="000000"/>
          <w:sz w:val="24"/>
        </w:rPr>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u w:val="none"/>
        </w:rPr>
      </w:r>
      <w:r>
        <mc:AlternateContent>
          <mc:Choice Requires="wpg">
            <w:drawing>
              <wp:inline xmlns:wp="http://schemas.openxmlformats.org/drawingml/2006/wordprocessingDrawing" distT="0" distB="0" distL="0" distR="0">
                <wp:extent cx="5887765" cy="548151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318526" name=""/>
                        <pic:cNvPicPr>
                          <a:picLocks noChangeAspect="1"/>
                        </pic:cNvPicPr>
                        <pic:nvPr/>
                      </pic:nvPicPr>
                      <pic:blipFill rotWithShape="1">
                        <a:blip r:embed="rId29"/>
                        <a:stretch/>
                      </pic:blipFill>
                      <pic:spPr bwMode="auto">
                        <a:xfrm flipH="0" flipV="0">
                          <a:off x="0" y="0"/>
                          <a:ext cx="5887764" cy="54815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63.60pt;height:431.61pt;mso-wrap-distance-left:0.00pt;mso-wrap-distance-top:0.00pt;mso-wrap-distance-right:0.00pt;mso-wrap-distance-bottom:0.00pt;z-index:1;" stroked="false">
                <v:imagedata r:id="rId29" o:title=""/>
                <o:lock v:ext="edit" rotation="t"/>
              </v:shape>
            </w:pict>
          </mc:Fallback>
        </mc:AlternateContent>
      </w: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mc:AlternateContent>
          <mc:Choice Requires="wpg">
            <w:drawing>
              <wp:inline xmlns:wp="http://schemas.openxmlformats.org/drawingml/2006/wordprocessingDrawing" distT="0" distB="0" distL="0" distR="0">
                <wp:extent cx="6048375" cy="8128045"/>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685934" name=""/>
                        <pic:cNvPicPr>
                          <a:picLocks noChangeAspect="1"/>
                        </pic:cNvPicPr>
                        <pic:nvPr/>
                      </pic:nvPicPr>
                      <pic:blipFill rotWithShape="1">
                        <a:blip r:embed="rId30"/>
                        <a:stretch/>
                      </pic:blipFill>
                      <pic:spPr bwMode="auto">
                        <a:xfrm>
                          <a:off x="0" y="0"/>
                          <a:ext cx="6048374" cy="81280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476.25pt;height:640.00pt;mso-wrap-distance-left:0.00pt;mso-wrap-distance-top:0.00pt;mso-wrap-distance-right:0.00pt;mso-wrap-distance-bottom:0.00pt;z-index:1;" stroked="false">
                <v:imagedata r:id="rId30" o:title=""/>
                <o:lock v:ext="edit" rotation="t"/>
              </v:shape>
            </w:pict>
          </mc:Fallback>
        </mc:AlternateContent>
      </w:r>
      <w:r>
        <mc:AlternateContent>
          <mc:Choice Requires="wpg">
            <w:drawing>
              <wp:inline xmlns:wp="http://schemas.openxmlformats.org/drawingml/2006/wordprocessingDrawing" distT="0" distB="0" distL="0" distR="0">
                <wp:extent cx="6048375" cy="8066532"/>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900383" name=""/>
                        <pic:cNvPicPr>
                          <a:picLocks noChangeAspect="1"/>
                        </pic:cNvPicPr>
                        <pic:nvPr/>
                      </pic:nvPicPr>
                      <pic:blipFill rotWithShape="1">
                        <a:blip r:embed="rId31"/>
                        <a:stretch/>
                      </pic:blipFill>
                      <pic:spPr bwMode="auto">
                        <a:xfrm>
                          <a:off x="0" y="0"/>
                          <a:ext cx="6048374" cy="8066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476.25pt;height:635.16pt;mso-wrap-distance-left:0.00pt;mso-wrap-distance-top:0.00pt;mso-wrap-distance-right:0.00pt;mso-wrap-distance-bottom:0.00pt;z-index:1;" stroked="false">
                <v:imagedata r:id="rId31" o:title=""/>
                <o:lock v:ext="edit" rotation="t"/>
              </v:shape>
            </w:pict>
          </mc:Fallback>
        </mc:AlternateContent>
      </w:r>
      <w:r>
        <w:rPr>
          <w:rFonts w:ascii="Times New Roman" w:hAnsi="Times New Roman" w:eastAsia="Times New Roman" w:cs="Times New Roman"/>
          <w:b/>
          <w:color w:val="000000"/>
          <w:sz w:val="24"/>
          <w:u w:val="singl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
    </w:p>
    <w:p>
      <w:pPr>
        <w:pBdr>
          <w:top w:val="none" w:color="000000" w:sz="4" w:space="0"/>
          <w:left w:val="none" w:color="000000" w:sz="4" w:space="0"/>
          <w:bottom w:val="none" w:color="000000" w:sz="4" w:space="0"/>
          <w:right w:val="none" w:color="000000" w:sz="4" w:space="0"/>
        </w:pBdr>
        <w:spacing w:after="200" w:line="276" w:lineRule="auto"/>
        <w:ind w:right="0" w:firstLine="0" w:left="0"/>
        <w:jc w:val="left"/>
        <w:rPr/>
      </w:pPr>
      <w:r/>
      <w:r/>
    </w:p>
    <w:p>
      <w:pPr>
        <w:pBdr>
          <w:top w:val="none" w:color="000000" w:sz="4" w:space="0"/>
          <w:left w:val="none" w:color="000000" w:sz="4" w:space="0"/>
          <w:bottom w:val="none" w:color="000000" w:sz="4" w:space="0"/>
          <w:right w:val="none" w:color="000000" w:sz="4" w:space="0"/>
        </w:pBdr>
        <w:spacing w:after="120"/>
        <w:ind w:right="0" w:firstLine="0" w:left="0"/>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THÔNG TIN HIỆN TRẠNG VÀ PHÁP LÝ CỦA TÀI SẢN 02</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758"/>
        <w:gridCol w:w="4757"/>
      </w:tblGrid>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933700" cy="2364938"/>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661672" name=""/>
                              <pic:cNvPicPr>
                                <a:picLocks noChangeAspect="1"/>
                              </pic:cNvPicPr>
                              <pic:nvPr/>
                            </pic:nvPicPr>
                            <pic:blipFill rotWithShape="1">
                              <a:blip r:embed="rId32"/>
                              <a:stretch/>
                            </pic:blipFill>
                            <pic:spPr bwMode="auto">
                              <a:xfrm flipH="0" flipV="0">
                                <a:off x="0" y="0"/>
                                <a:ext cx="2933699" cy="23649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31.00pt;height:186.22pt;mso-wrap-distance-left:0.00pt;mso-wrap-distance-top:0.00pt;mso-wrap-distance-right:0.00pt;mso-wrap-distance-bottom:0.00pt;z-index:1;" stroked="false">
                      <v:imagedata r:id="rId32"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4257675" cy="2279213"/>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034878" name=""/>
                              <pic:cNvPicPr>
                                <a:picLocks noChangeAspect="1"/>
                              </pic:cNvPicPr>
                              <pic:nvPr/>
                            </pic:nvPicPr>
                            <pic:blipFill rotWithShape="1">
                              <a:blip r:embed="rId33"/>
                              <a:stretch/>
                            </pic:blipFill>
                            <pic:spPr bwMode="auto">
                              <a:xfrm flipH="0" flipV="0">
                                <a:off x="0" y="0"/>
                                <a:ext cx="4257675" cy="22792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35.25pt;height:179.47pt;mso-wrap-distance-left:0.00pt;mso-wrap-distance-top:0.00pt;mso-wrap-distance-right:0.00pt;mso-wrap-distance-bottom:0.00pt;z-index:1;" stroked="false">
                      <v:imagedata r:id="rId33"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4200525" cy="2548824"/>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752893" name=""/>
                              <pic:cNvPicPr>
                                <a:picLocks noChangeAspect="1"/>
                              </pic:cNvPicPr>
                              <pic:nvPr/>
                            </pic:nvPicPr>
                            <pic:blipFill rotWithShape="1">
                              <a:blip r:embed="rId34"/>
                              <a:stretch/>
                            </pic:blipFill>
                            <pic:spPr bwMode="auto">
                              <a:xfrm flipH="0" flipV="0">
                                <a:off x="0" y="0"/>
                                <a:ext cx="4200525" cy="25488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330.75pt;height:200.69pt;mso-wrap-distance-left:0.00pt;mso-wrap-distance-top:0.00pt;mso-wrap-distance-right:0.00pt;mso-wrap-distance-bottom:0.00pt;z-index:1;" stroked="false">
                      <v:imagedata r:id="rId34"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4210050" cy="2477386"/>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686044" name=""/>
                              <pic:cNvPicPr>
                                <a:picLocks noChangeAspect="1"/>
                              </pic:cNvPicPr>
                              <pic:nvPr/>
                            </pic:nvPicPr>
                            <pic:blipFill rotWithShape="1">
                              <a:blip r:embed="rId35"/>
                              <a:stretch/>
                            </pic:blipFill>
                            <pic:spPr bwMode="auto">
                              <a:xfrm flipH="0" flipV="0">
                                <a:off x="0" y="0"/>
                                <a:ext cx="4210049" cy="24773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331.50pt;height:195.07pt;mso-wrap-distance-left:0.00pt;mso-wrap-distance-top:0.00pt;mso-wrap-distance-right:0.00pt;mso-wrap-distance-bottom:0.00pt;z-index:1;" stroked="false">
                      <v:imagedata r:id="rId35" o:title=""/>
                      <o:lock v:ext="edit" rotation="t"/>
                    </v:shape>
                  </w:pict>
                </mc:Fallback>
              </mc:AlternateConten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c>
          <w:tcPr>
            <w:tcBorders/>
            <w:tcMar>
              <w:left w:w="108" w:type="dxa"/>
              <w:top w:w="0" w:type="dxa"/>
              <w:right w:w="108" w:type="dxa"/>
              <w:bottom w:w="0" w:type="dxa"/>
            </w:tcMar>
            <w:tcW w:w="4758"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4267200" cy="2223960"/>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68391" name=""/>
                              <pic:cNvPicPr>
                                <a:picLocks noChangeAspect="1"/>
                              </pic:cNvPicPr>
                              <pic:nvPr/>
                            </pic:nvPicPr>
                            <pic:blipFill rotWithShape="1">
                              <a:blip r:embed="rId36"/>
                              <a:stretch/>
                            </pic:blipFill>
                            <pic:spPr bwMode="auto">
                              <a:xfrm flipH="0" flipV="0">
                                <a:off x="0" y="0"/>
                                <a:ext cx="4267199" cy="22239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336.00pt;height:175.11pt;mso-wrap-distance-left:0.00pt;mso-wrap-distance-top:0.00pt;mso-wrap-distance-right:0.00pt;mso-wrap-distance-bottom:0.00pt;z-index:1;" stroked="false">
                      <v:imagedata r:id="rId36" o:title=""/>
                      <o:lock v:ext="edit" rotation="t"/>
                    </v:shape>
                  </w:pict>
                </mc:Fallback>
              </mc:AlternateContent>
            </w:r>
            <w:r/>
          </w:p>
        </w:tc>
        <w:tc>
          <w:tcPr>
            <w:tcBorders/>
            <w:tcMar>
              <w:left w:w="108" w:type="dxa"/>
              <w:top w:w="0" w:type="dxa"/>
              <w:right w:w="108" w:type="dxa"/>
              <w:bottom w:w="0" w:type="dxa"/>
            </w:tcMar>
            <w:tcW w:w="4757" w:type="dxa"/>
            <w:vAlign w:val="center"/>
            <w:textDirection w:val="lrTb"/>
            <w:noWrap w:val="false"/>
          </w:tcPr>
          <w:p>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4267200" cy="2338260"/>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88447" name=""/>
                              <pic:cNvPicPr>
                                <a:picLocks noChangeAspect="1"/>
                              </pic:cNvPicPr>
                              <pic:nvPr/>
                            </pic:nvPicPr>
                            <pic:blipFill rotWithShape="1">
                              <a:blip r:embed="rId37"/>
                              <a:stretch/>
                            </pic:blipFill>
                            <pic:spPr bwMode="auto">
                              <a:xfrm flipH="0" flipV="0">
                                <a:off x="0" y="0"/>
                                <a:ext cx="4267199" cy="23382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336.00pt;height:184.11pt;mso-wrap-distance-left:0.00pt;mso-wrap-distance-top:0.00pt;mso-wrap-distance-right:0.00pt;mso-wrap-distance-bottom:0.00pt;z-index:1;" stroked="false">
                      <v:imagedata r:id="rId37" o:title=""/>
                      <o:lock v:ext="edit" rotation="t"/>
                    </v:shape>
                  </w:pict>
                </mc:Fallback>
              </mc:AlternateContent>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highlight w:val="none"/>
        </w:rPr>
      </w:pPr>
      <w:r>
        <mc:AlternateContent>
          <mc:Choice Requires="wpg">
            <w:drawing>
              <wp:inline xmlns:wp="http://schemas.openxmlformats.org/drawingml/2006/wordprocessingDrawing" distT="0" distB="0" distL="0" distR="0">
                <wp:extent cx="6048375" cy="5743471"/>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388048" name=""/>
                        <pic:cNvPicPr>
                          <a:picLocks noChangeAspect="1"/>
                        </pic:cNvPicPr>
                        <pic:nvPr/>
                      </pic:nvPicPr>
                      <pic:blipFill rotWithShape="1">
                        <a:blip r:embed="rId38"/>
                        <a:stretch/>
                      </pic:blipFill>
                      <pic:spPr bwMode="auto">
                        <a:xfrm flipH="0" flipV="0">
                          <a:off x="0" y="0"/>
                          <a:ext cx="6048374" cy="57434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452.24pt;mso-wrap-distance-left:0.00pt;mso-wrap-distance-top:0.00pt;mso-wrap-distance-right:0.00pt;mso-wrap-distance-bottom:0.00pt;z-index:1;" stroked="false">
                <v:imagedata r:id="rId38" o:title=""/>
                <o:lock v:ext="edit" rotation="t"/>
              </v:shape>
            </w:pict>
          </mc:Fallback>
        </mc:AlternateContent>
      </w:r>
      <w:r>
        <w:rPr>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highlight w:val="none"/>
        </w:rPr>
      </w:r>
      <w:r>
        <mc:AlternateContent>
          <mc:Choice Requires="wpg">
            <w:drawing>
              <wp:inline xmlns:wp="http://schemas.openxmlformats.org/drawingml/2006/wordprocessingDrawing" distT="0" distB="0" distL="0" distR="0">
                <wp:extent cx="6048375" cy="654769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9377001" name=""/>
                        <pic:cNvPicPr>
                          <a:picLocks noChangeAspect="1"/>
                        </pic:cNvPicPr>
                        <pic:nvPr/>
                      </pic:nvPicPr>
                      <pic:blipFill rotWithShape="1">
                        <a:blip r:embed="rId39"/>
                        <a:stretch/>
                      </pic:blipFill>
                      <pic:spPr bwMode="auto">
                        <a:xfrm>
                          <a:off x="0" y="0"/>
                          <a:ext cx="6048374" cy="654769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515.57pt;mso-wrap-distance-left:0.00pt;mso-wrap-distance-top:0.00pt;mso-wrap-distance-right:0.00pt;mso-wrap-distance-bottom:0.00pt;z-index:1;" stroked="false">
                <v:imagedata r:id="rId39" o:title=""/>
                <o:lock v:ext="edit" rotation="t"/>
              </v:shape>
            </w:pict>
          </mc:Fallback>
        </mc:AlternateContent>
      </w:r>
      <w:r>
        <mc:AlternateContent>
          <mc:Choice Requires="wpg">
            <w:drawing>
              <wp:inline xmlns:wp="http://schemas.openxmlformats.org/drawingml/2006/wordprocessingDrawing" distT="0" distB="0" distL="0" distR="0">
                <wp:extent cx="6048375" cy="6877866"/>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558657" name=""/>
                        <pic:cNvPicPr>
                          <a:picLocks noChangeAspect="1"/>
                        </pic:cNvPicPr>
                        <pic:nvPr/>
                      </pic:nvPicPr>
                      <pic:blipFill rotWithShape="1">
                        <a:blip r:embed="rId40"/>
                        <a:stretch/>
                      </pic:blipFill>
                      <pic:spPr bwMode="auto">
                        <a:xfrm>
                          <a:off x="0" y="0"/>
                          <a:ext cx="6048374" cy="68778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541.56pt;mso-wrap-distance-left:0.00pt;mso-wrap-distance-top:0.00pt;mso-wrap-distance-right:0.00pt;mso-wrap-distance-bottom:0.00pt;z-index:1;" stroked="false">
                <v:imagedata r:id="rId40"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mc:AlternateContent>
          <mc:Choice Requires="wpg">
            <w:drawing>
              <wp:inline xmlns:wp="http://schemas.openxmlformats.org/drawingml/2006/wordprocessingDrawing" distT="0" distB="0" distL="0" distR="0">
                <wp:extent cx="6048375" cy="6532245"/>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64619" name=""/>
                        <pic:cNvPicPr>
                          <a:picLocks noChangeAspect="1"/>
                        </pic:cNvPicPr>
                        <pic:nvPr/>
                      </pic:nvPicPr>
                      <pic:blipFill rotWithShape="1">
                        <a:blip r:embed="rId41"/>
                        <a:stretch/>
                      </pic:blipFill>
                      <pic:spPr bwMode="auto">
                        <a:xfrm>
                          <a:off x="0" y="0"/>
                          <a:ext cx="6048374" cy="65322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76.25pt;height:514.35pt;mso-wrap-distance-left:0.00pt;mso-wrap-distance-top:0.00pt;mso-wrap-distance-right:0.00pt;mso-wrap-distance-bottom:0.00pt;z-index:1;" stroked="false">
                <v:imagedata r:id="rId41" o:title=""/>
                <o:lock v:ext="edit" rotation="t"/>
              </v:shape>
            </w:pict>
          </mc:Fallback>
        </mc:AlternateContent>
      </w:r>
      <w:r>
        <mc:AlternateContent>
          <mc:Choice Requires="wpg">
            <w:drawing>
              <wp:inline xmlns:wp="http://schemas.openxmlformats.org/drawingml/2006/wordprocessingDrawing" distT="0" distB="0" distL="0" distR="0">
                <wp:extent cx="6048375" cy="8066532"/>
                <wp:effectExtent l="0" t="0" r="0" b="0"/>
                <wp:docPr id="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428881" name=""/>
                        <pic:cNvPicPr>
                          <a:picLocks noChangeAspect="1"/>
                        </pic:cNvPicPr>
                        <pic:nvPr/>
                      </pic:nvPicPr>
                      <pic:blipFill rotWithShape="1">
                        <a:blip r:embed="rId42"/>
                        <a:stretch/>
                      </pic:blipFill>
                      <pic:spPr bwMode="auto">
                        <a:xfrm>
                          <a:off x="0" y="0"/>
                          <a:ext cx="6048374" cy="806653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9" o:spid="_x0000_s29" type="#_x0000_t75" style="width:476.25pt;height:635.16pt;mso-wrap-distance-left:0.00pt;mso-wrap-distance-top:0.00pt;mso-wrap-distance-right:0.00pt;mso-wrap-distance-bottom:0.00pt;z-index:1;" stroked="false">
                <v:imagedata r:id="rId42"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none"/>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u w:val="single"/>
        </w:rPr>
        <w:t xml:space="preserve">PHỤ LỤC 02</w:t>
      </w:r>
      <w:r>
        <w:rPr>
          <w:rFonts w:ascii="Times New Roman" w:hAnsi="Times New Roman" w:eastAsia="Times New Roman" w:cs="Times New Roman"/>
          <w:b/>
          <w:color w:val="000000"/>
          <w:sz w:val="24"/>
        </w:rPr>
        <w:t xml:space="preserve">: THÔNG TIN THU THẬP THỊ TRƯỜNG</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i/>
          <w:color w:val="000000"/>
          <w:sz w:val="24"/>
        </w:rPr>
        <w:t xml:space="preserve">(Kèm theo Báo cáo thẩm định số 275/2026/1398/VFI-BC.44.A ngày 09 tháng 9 năm 2026 của </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Công ty Cổ phần Thẩm định và Đầu tư Tài chính Hoa Sen)</w:t>
      </w:r>
      <w:r/>
    </w:p>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color w:val="000000"/>
          <w:sz w:val="24"/>
        </w:rPr>
        <w:t xml:space="preserve">TSSS1</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0928.776268 </w:t>
              <w:br/>
              <w:t xml:space="preserve"> (Sale)</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2.800.000.000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2.380.000.000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9/2026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(88m²)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2,5m, mặt tiền 5m,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88,0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CTXD trên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 </w:t>
            </w:r>
            <w:r/>
          </w:p>
          <w:p>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inline xmlns:wp="http://schemas.openxmlformats.org/drawingml/2006/wordprocessingDrawing" distT="0" distB="0" distL="0" distR="0">
                      <wp:extent cx="6048375" cy="4382758"/>
                      <wp:effectExtent l="0" t="0" r="0" b="0"/>
                      <wp:docPr id="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525779" name=""/>
                              <pic:cNvPicPr>
                                <a:picLocks noChangeAspect="1"/>
                              </pic:cNvPicPr>
                              <pic:nvPr/>
                            </pic:nvPicPr>
                            <pic:blipFill rotWithShape="1">
                              <a:blip r:embed="rId43"/>
                              <a:stretch/>
                            </pic:blipFill>
                            <pic:spPr bwMode="auto">
                              <a:xfrm>
                                <a:off x="0" y="0"/>
                                <a:ext cx="6048374" cy="438275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 o:spid="_x0000_s30" type="#_x0000_t75" style="width:476.25pt;height:345.10pt;mso-wrap-distance-left:0.00pt;mso-wrap-distance-top:0.00pt;mso-wrap-distance-right:0.00pt;mso-wrap-distance-bottom:0.00pt;z-index:1;" stroked="false">
                      <v:imagedata r:id="rId43" o:title=""/>
                      <o:lock v:ext="edit" rotation="t"/>
                    </v:shape>
                  </w:pict>
                </mc:Fallback>
              </mc:AlternateContent>
            </w: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br/>
              <w:t xml:space="preserve"> Hình ảnh tổng quan tài sản: </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2572801" cy="3641460"/>
                      <wp:effectExtent l="0" t="0" r="0" b="0"/>
                      <wp:docPr id="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666182" name=""/>
                              <pic:cNvPicPr>
                                <a:picLocks noChangeAspect="1"/>
                              </pic:cNvPicPr>
                              <pic:nvPr/>
                            </pic:nvPicPr>
                            <pic:blipFill rotWithShape="1">
                              <a:blip r:embed="rId44"/>
                              <a:stretch/>
                            </pic:blipFill>
                            <pic:spPr bwMode="auto">
                              <a:xfrm flipH="0" flipV="0">
                                <a:off x="0" y="0"/>
                                <a:ext cx="2572800" cy="36414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 o:spid="_x0000_s31" type="#_x0000_t75" style="width:202.58pt;height:286.73pt;mso-wrap-distance-left:0.00pt;mso-wrap-distance-top:0.00pt;mso-wrap-distance-right:0.00pt;mso-wrap-distance-bottom:0.00pt;z-index:1;" stroked="false">
                      <v:imagedata r:id="rId44" o:title=""/>
                      <o:lock v:ext="edit" rotation="t"/>
                    </v:shape>
                  </w:pict>
                </mc:Fallback>
              </mc:AlternateContent>
            </w:r>
            <w:r>
              <mc:AlternateContent>
                <mc:Choice Requires="wpg">
                  <w:drawing>
                    <wp:inline xmlns:wp="http://schemas.openxmlformats.org/drawingml/2006/wordprocessingDrawing" distT="0" distB="0" distL="0" distR="0">
                      <wp:extent cx="3600450" cy="4276460"/>
                      <wp:effectExtent l="0" t="0" r="0" b="0"/>
                      <wp:docPr id="3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55432" name=""/>
                              <pic:cNvPicPr>
                                <a:picLocks noChangeAspect="1"/>
                              </pic:cNvPicPr>
                              <pic:nvPr/>
                            </pic:nvPicPr>
                            <pic:blipFill rotWithShape="1">
                              <a:blip r:embed="rId45"/>
                              <a:stretch/>
                            </pic:blipFill>
                            <pic:spPr bwMode="auto">
                              <a:xfrm flipH="0" flipV="0">
                                <a:off x="0" y="0"/>
                                <a:ext cx="3600450" cy="42764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2" o:spid="_x0000_s32" type="#_x0000_t75" style="width:283.50pt;height:336.73pt;mso-wrap-distance-left:0.00pt;mso-wrap-distance-top:0.00pt;mso-wrap-distance-right:0.00pt;mso-wrap-distance-bottom:0.00pt;z-index:1;" stroked="false">
                      <v:imagedata r:id="rId45"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   </w:t>
            </w:r>
            <w:r/>
          </w:p>
        </w:tc>
      </w:tr>
    </w:tbl>
    <w:p>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i/>
          <w:color w:val="000000"/>
          <w:sz w:val="24"/>
        </w:rPr>
        <w:t xml:space="preserve"> </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3812"/>
        <w:gridCol w:w="5395"/>
      </w:tblGrid>
      <w:tr>
        <w:trPr>
          <w:trHeight w:val="283"/>
        </w:trPr>
        <w:tc>
          <w:tcPr>
            <w:tcBorders/>
            <w:tcMar>
              <w:left w:w="108" w:type="dxa"/>
              <w:top w:w="0" w:type="dxa"/>
              <w:right w:w="108" w:type="dxa"/>
              <w:bottom w:w="0" w:type="dxa"/>
            </w:tcMar>
            <w:tcW w:w="381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39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293"/>
        </w:trPr>
        <w:tc>
          <w:tcPr>
            <w:tcBorders/>
            <w:tcMar>
              <w:left w:w="108" w:type="dxa"/>
              <w:top w:w="0" w:type="dxa"/>
              <w:right w:w="108" w:type="dxa"/>
              <w:bottom w:w="0" w:type="dxa"/>
            </w:tcMar>
            <w:tcW w:w="3812"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5395"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Lê Đình Duy</w:t>
            </w:r>
            <w:r/>
          </w:p>
        </w:tc>
      </w:tr>
    </w:tbl>
    <w:p>
      <w:pPr>
        <w:pBdr>
          <w:top w:val="none" w:color="000000" w:sz="4" w:space="0"/>
          <w:left w:val="none" w:color="000000" w:sz="4" w:space="0"/>
          <w:bottom w:val="none" w:color="000000" w:sz="4" w:space="0"/>
          <w:right w:val="none" w:color="000000" w:sz="4" w:space="0"/>
        </w:pBdr>
        <w:spacing/>
        <w:ind w:right="0" w:firstLine="0" w:left="0"/>
        <w:rPr/>
      </w:pPr>
      <w:r>
        <w:br w:type="page" w:clear="all"/>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rPr>
        <w:t xml:space="preserve">TSSS2</w:t>
      </w: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35"/>
        <w:gridCol w:w="497"/>
        <w:gridCol w:w="3861"/>
        <w:gridCol w:w="632"/>
        <w:gridCol w:w="4069"/>
        <w:gridCol w:w="425"/>
      </w:tblGrid>
      <w:tr>
        <w:trPr>
          <w:trHeight w:val="20"/>
        </w:trPr>
        <w:tc>
          <w:tcPr>
            <w:gridSpan w:val="2"/>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gridSpan w:val="2"/>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Nguồn tham khảo</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0972.531838 </w:t>
              <w:br/>
              <w:t xml:space="preserve"> (Nguyễn Chiều)</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1.800.000.000</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1.530.000.000</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9/2026</w:t>
            </w:r>
            <w:r/>
          </w:p>
        </w:tc>
      </w:tr>
      <w:tr>
        <w:trPr>
          <w:trHeight w:val="20"/>
        </w:trPr>
        <w:tc>
          <w:tcPr>
            <w:gridSpan w:val="2"/>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gridSpan w:val="2"/>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(50,5m²)</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4m, mặt tiền 4,8m,</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50,5</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4,8</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Hình chữ nhật</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CTXD trên đất</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gridSpan w:val="2"/>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gridSpan w:val="2"/>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6048375" cy="3757324"/>
                      <wp:effectExtent l="0" t="0" r="0" b="0"/>
                      <wp:docPr id="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407990" name=""/>
                              <pic:cNvPicPr>
                                <a:picLocks noChangeAspect="1"/>
                              </pic:cNvPicPr>
                              <pic:nvPr/>
                            </pic:nvPicPr>
                            <pic:blipFill rotWithShape="1">
                              <a:blip r:embed="rId46"/>
                              <a:stretch/>
                            </pic:blipFill>
                            <pic:spPr bwMode="auto">
                              <a:xfrm>
                                <a:off x="0" y="0"/>
                                <a:ext cx="6048374" cy="375732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3" o:spid="_x0000_s33" type="#_x0000_t75" style="width:476.25pt;height:295.85pt;mso-wrap-distance-left:0.00pt;mso-wrap-distance-top:0.00pt;mso-wrap-distance-right:0.00pt;mso-wrap-distance-bottom:0.00pt;z-index:1;" stroked="false">
                      <v:imagedata r:id="rId46" o:title=""/>
                      <o:lock v:ext="edit" rotation="t"/>
                    </v:shape>
                  </w:pict>
                </mc:Fallback>
              </mc:AlternateContent>
            </w:r>
            <w:r>
              <mc:AlternateContent>
                <mc:Choice Requires="wpg">
                  <w:drawing>
                    <wp:inline xmlns:wp="http://schemas.openxmlformats.org/drawingml/2006/wordprocessingDrawing" distT="0" distB="0" distL="0" distR="0">
                      <wp:extent cx="6048375" cy="4322638"/>
                      <wp:effectExtent l="0" t="0" r="0" b="0"/>
                      <wp:docPr id="3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792373" name=""/>
                              <pic:cNvPicPr>
                                <a:picLocks noChangeAspect="1"/>
                              </pic:cNvPicPr>
                              <pic:nvPr/>
                            </pic:nvPicPr>
                            <pic:blipFill rotWithShape="1">
                              <a:blip r:embed="rId47"/>
                              <a:stretch/>
                            </pic:blipFill>
                            <pic:spPr bwMode="auto">
                              <a:xfrm>
                                <a:off x="0" y="0"/>
                                <a:ext cx="6048374" cy="43226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 o:spid="_x0000_s34" type="#_x0000_t75" style="width:476.25pt;height:340.37pt;mso-wrap-distance-left:0.00pt;mso-wrap-distance-top:0.00pt;mso-wrap-distance-right:0.00pt;mso-wrap-distance-bottom:0.00pt;z-index:1;" stroked="false">
                      <v:imagedata r:id="rId47" o:title=""/>
                      <o:lock v:ext="edit" rotation="t"/>
                    </v:shape>
                  </w:pict>
                </mc:Fallback>
              </mc:AlternateContent>
            </w:r>
            <w:r>
              <mc:AlternateContent>
                <mc:Choice Requires="wpg">
                  <w:drawing>
                    <wp:inline xmlns:wp="http://schemas.openxmlformats.org/drawingml/2006/wordprocessingDrawing" distT="0" distB="0" distL="0" distR="0">
                      <wp:extent cx="6048375" cy="4310812"/>
                      <wp:effectExtent l="0" t="0" r="0" b="0"/>
                      <wp:docPr id="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380023" name=""/>
                              <pic:cNvPicPr>
                                <a:picLocks noChangeAspect="1"/>
                              </pic:cNvPicPr>
                              <pic:nvPr/>
                            </pic:nvPicPr>
                            <pic:blipFill rotWithShape="1">
                              <a:blip r:embed="rId48"/>
                              <a:stretch/>
                            </pic:blipFill>
                            <pic:spPr bwMode="auto">
                              <a:xfrm>
                                <a:off x="0" y="0"/>
                                <a:ext cx="6048374" cy="431081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5" o:spid="_x0000_s35" type="#_x0000_t75" style="width:476.25pt;height:339.43pt;mso-wrap-distance-left:0.00pt;mso-wrap-distance-top:0.00pt;mso-wrap-distance-right:0.00pt;mso-wrap-distance-bottom:0.00pt;z-index:1;" stroked="false">
                      <v:imagedata r:id="rId48"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jc w:val="left"/>
              <w:rPr/>
            </w:pPr>
            <w: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color w:val="000000"/>
                <w:sz w:val="22"/>
                <w:szCs w:val="22"/>
                <w:highlight w:val="none"/>
              </w:rPr>
            </w:pPr>
            <w:r>
              <w:rPr>
                <w:rFonts w:ascii="Times New Roman" w:hAnsi="Times New Roman" w:eastAsia="Times New Roman" w:cs="Times New Roman"/>
                <w:color w:val="000000"/>
                <w:sz w:val="22"/>
              </w:rPr>
              <w:t xml:space="preserve">  Hình ảnh tổng quan tài sản: </w:t>
            </w:r>
            <w:r>
              <w:rPr>
                <w:rFonts w:ascii="Times New Roman" w:hAnsi="Times New Roman" w:eastAsia="Times New Roman" w:cs="Times New Roman"/>
                <w:color w:val="000000"/>
                <w:sz w:val="22"/>
                <w:szCs w:val="22"/>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rPr/>
            </w:pPr>
            <w:r>
              <w:rPr>
                <w:highlight w:val="none"/>
              </w:rPr>
            </w:r>
            <w:r>
              <w:rPr>
                <w:highlight w:val="none"/>
              </w:rPr>
            </w:r>
            <w:r/>
          </w:p>
          <w:p>
            <w:pPr>
              <w:pBdr>
                <w:top w:val="none" w:color="000000" w:sz="4" w:space="0"/>
                <w:left w:val="none" w:color="000000" w:sz="4" w:space="0"/>
                <w:bottom w:val="none" w:color="000000" w:sz="4" w:space="0"/>
                <w:right w:val="none" w:color="000000" w:sz="4" w:space="0"/>
              </w:pBdr>
              <w:spacing w:line="276" w:lineRule="auto"/>
              <w:ind w:right="0" w:firstLine="0" w:left="0"/>
              <w:rPr>
                <w:highlight w:val="none"/>
              </w:rPr>
            </w:pPr>
            <w:r>
              <w:rPr>
                <w:rFonts w:ascii="Times New Roman" w:hAnsi="Times New Roman" w:eastAsia="Times New Roman" w:cs="Times New Roman"/>
                <w:color w:val="000000"/>
                <w:sz w:val="22"/>
                <w:highlight w:val="none"/>
              </w:rPr>
            </w:r>
            <w:r>
              <mc:AlternateContent>
                <mc:Choice Requires="wpg">
                  <w:drawing>
                    <wp:inline xmlns:wp="http://schemas.openxmlformats.org/drawingml/2006/wordprocessingDrawing" distT="0" distB="0" distL="0" distR="0">
                      <wp:extent cx="5443062" cy="4962525"/>
                      <wp:effectExtent l="0" t="0" r="0" b="0"/>
                      <wp:docPr id="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685008" name=""/>
                              <pic:cNvPicPr>
                                <a:picLocks noChangeAspect="1"/>
                              </pic:cNvPicPr>
                              <pic:nvPr/>
                            </pic:nvPicPr>
                            <pic:blipFill rotWithShape="1">
                              <a:blip r:embed="rId49"/>
                              <a:stretch/>
                            </pic:blipFill>
                            <pic:spPr bwMode="auto">
                              <a:xfrm flipH="0" flipV="0">
                                <a:off x="0" y="0"/>
                                <a:ext cx="5443061" cy="49625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6" o:spid="_x0000_s36" type="#_x0000_t75" style="width:428.59pt;height:390.75pt;mso-wrap-distance-left:0.00pt;mso-wrap-distance-top:0.00pt;mso-wrap-distance-right:0.00pt;mso-wrap-distance-bottom:0.00pt;z-index:1;" stroked="false">
                      <v:imagedata r:id="rId49" o:title=""/>
                      <o:lock v:ext="edit" rotation="t"/>
                    </v:shape>
                  </w:pict>
                </mc:Fallback>
              </mc:AlternateContent>
            </w:r>
            <w:r>
              <w:rPr>
                <w:highlight w:val="none"/>
              </w:rPr>
            </w:r>
            <w:r>
              <w:rPr>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rPr>
                <w:highlight w:val="none"/>
              </w:rPr>
            </w:pPr>
            <w:r>
              <w:rPr>
                <w:highlight w:val="none"/>
              </w:rPr>
            </w:r>
            <w:r>
              <w:rPr>
                <w:highlight w:val="none"/>
              </w:rPr>
            </w:r>
            <w:r>
              <w:rPr>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rPr>
                <w:highlight w:val="none"/>
              </w:rPr>
            </w:pPr>
            <w:r>
              <w:rPr>
                <w:highlight w:val="none"/>
              </w:rPr>
            </w:r>
            <w:r>
              <w:rPr>
                <w:highlight w:val="none"/>
              </w:rPr>
            </w:r>
            <w:r>
              <w:rPr>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rPr>
                <w:highlight w:val="none"/>
              </w:rPr>
            </w:pPr>
            <w:r>
              <w:rPr>
                <w:highlight w:val="none"/>
              </w:rPr>
            </w:r>
            <w:r>
              <w:rPr>
                <w:highlight w:val="none"/>
              </w:rPr>
            </w:r>
            <w:r>
              <w:rPr>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rPr>
                <w:highlight w:val="none"/>
              </w:rPr>
            </w:pPr>
            <w:r>
              <w:rPr>
                <w:highlight w:val="none"/>
              </w:rPr>
            </w:r>
            <w:r>
              <w:rPr>
                <w:highlight w:val="none"/>
              </w:rPr>
            </w:r>
            <w:r>
              <w:rPr>
                <w:highlight w:val="none"/>
              </w:rPr>
            </w:r>
          </w:p>
        </w:tc>
      </w:tr>
      <w:tr>
        <w:trPr>
          <w:gridAfter w:val="1"/>
          <w:trHeight w:val="298"/>
        </w:trPr>
        <w:tc>
          <w:tcPr>
            <w:tcBorders/>
            <w:tcMar>
              <w:left w:w="0" w:type="dxa"/>
              <w:top w:w="0" w:type="dxa"/>
              <w:right w:w="0" w:type="dxa"/>
              <w:bottom w:w="0" w:type="dxa"/>
            </w:tcMar>
            <w:tcW w:w="1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gridSpan w:val="2"/>
            <w:tcBorders>
              <w:bottom w:val="single" w:color="000000" w:sz="8" w:space="0"/>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2"/>
            <w:tcBorders>
              <w:bottom w:val="single" w:color="000000" w:sz="8" w:space="0"/>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gridAfter w:val="1"/>
          <w:trHeight w:val="308"/>
        </w:trPr>
        <w:tc>
          <w:tcPr>
            <w:tcBorders/>
            <w:tcMar>
              <w:left w:w="0" w:type="dxa"/>
              <w:top w:w="0" w:type="dxa"/>
              <w:right w:w="0" w:type="dxa"/>
              <w:bottom w:w="0" w:type="dxa"/>
            </w:tcMar>
            <w:tcW w:w="135"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tc>
        <w:tc>
          <w:tcPr>
            <w:gridSpan w:val="2"/>
            <w:tcBorders>
              <w:left w:val="single" w:color="000000" w:sz="8" w:space="0"/>
              <w:bottom w:val="single" w:color="000000" w:sz="8" w:space="0"/>
              <w:right w:val="single" w:color="000000" w:sz="8" w:space="0"/>
            </w:tcBorders>
            <w:tcMar>
              <w:left w:w="108" w:type="dxa"/>
              <w:top w:w="0" w:type="dxa"/>
              <w:right w:w="108" w:type="dxa"/>
              <w:bottom w:w="0" w:type="dxa"/>
            </w:tcMar>
            <w:tcW w:w="43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4701"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Lê Đình Duy</w:t>
            </w:r>
            <w:r/>
          </w:p>
        </w:tc>
      </w:tr>
      <w:tr>
        <w:trPr/>
        <w:tc>
          <w:tcPr>
            <w:tcBorders/>
            <w:tcMar>
              <w:left w:w="0" w:type="dxa"/>
              <w:top w:w="0" w:type="dxa"/>
              <w:right w:w="0" w:type="dxa"/>
              <w:bottom w:w="0" w:type="dxa"/>
            </w:tcMar>
            <w:tcW w:w="135"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497"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3861"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632"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4069" w:type="dxa"/>
            <w:vAlign w:val="center"/>
            <w:textDirection w:val="lrTb"/>
            <w:noWrap w:val="false"/>
          </w:tcPr>
          <w:p>
            <w:pPr>
              <w:pBdr/>
              <w:spacing w:after="0" w:before="0" w:line="240" w:lineRule="auto"/>
              <w:ind/>
              <w:rPr/>
            </w:pPr>
            <w:r/>
            <w:r/>
          </w:p>
        </w:tc>
        <w:tc>
          <w:tcPr>
            <w:tcBorders/>
            <w:tcMar>
              <w:left w:w="0" w:type="dxa"/>
              <w:top w:w="0" w:type="dxa"/>
              <w:right w:w="0" w:type="dxa"/>
              <w:bottom w:w="0" w:type="dxa"/>
            </w:tcMar>
            <w:tcW w:w="425" w:type="dxa"/>
            <w:vAlign w:val="center"/>
            <w:textDirection w:val="lrTb"/>
            <w:noWrap w:val="false"/>
          </w:tcPr>
          <w:p>
            <w:pPr>
              <w:pBdr/>
              <w:spacing w:after="0" w:before="0" w:line="240" w:lineRule="auto"/>
              <w:ind/>
              <w:rPr/>
            </w:pPr>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highlight w:val="none"/>
        </w:rPr>
      </w:r>
      <w:r>
        <w:rPr>
          <w:rFonts w:ascii="Times New Roman" w:hAnsi="Times New Roman" w:eastAsia="Times New Roman" w:cs="Times New Roman"/>
          <w:b/>
          <w:color w:val="000000"/>
          <w:sz w:val="24"/>
          <w:highlight w:val="none"/>
        </w:rPr>
      </w:r>
      <w:r>
        <w:rPr>
          <w:rFonts w:ascii="Times New Roman" w:hAnsi="Times New Roman" w:eastAsia="Times New Roman" w:cs="Times New Roman"/>
          <w:b/>
          <w:bCs/>
          <w:color w:val="000000"/>
          <w:sz w:val="24"/>
          <w:szCs w:val="24"/>
          <w:highlight w:val="none"/>
        </w:rPr>
      </w:r>
    </w:p>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rFonts w:ascii="Times New Roman" w:hAnsi="Times New Roman" w:eastAsia="Times New Roman" w:cs="Times New Roman"/>
          <w:b/>
          <w:bCs/>
          <w:color w:val="000000"/>
          <w:sz w:val="24"/>
          <w:szCs w:val="24"/>
          <w:highlight w:val="none"/>
        </w:rPr>
      </w:pPr>
      <w:r>
        <w:rPr>
          <w:rFonts w:ascii="Times New Roman" w:hAnsi="Times New Roman" w:eastAsia="Times New Roman" w:cs="Times New Roman"/>
          <w:b/>
          <w:color w:val="000000"/>
          <w:sz w:val="24"/>
        </w:rPr>
        <w:t xml:space="preserve">TSSS 3</w:t>
      </w:r>
      <w:r>
        <w:rPr>
          <w:rFonts w:ascii="Times New Roman" w:hAnsi="Times New Roman" w:eastAsia="Times New Roman" w:cs="Times New Roman"/>
          <w:b/>
          <w:bCs/>
          <w:color w:val="000000"/>
          <w:sz w:val="24"/>
          <w:szCs w:val="24"/>
          <w:highlight w:val="none"/>
        </w:rPr>
      </w:r>
    </w:p>
    <w:tbl>
      <w:tblPr>
        <w:tblStyle w:val="104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632"/>
        <w:gridCol w:w="4493"/>
        <w:gridCol w:w="449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 SĐT: 0815.693.999 </w:t>
              <w:br/>
              <w:t xml:space="preserve"> (A Được)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2.800.000.000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2.380.000.000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9/2026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nông thôn (70m²)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nông thôn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Ngõ giao thông, Phường Võ Cường, Bắc Ninh, độ rộng đường trước mặt tài sản 3,5m, mặt tiền 4,72m,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Đường bê tông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4,72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Nở hậu</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CTXD trên đất</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trống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 </w:t>
            </w:r>
            <w:r/>
          </w:p>
        </w:tc>
        <w:tc>
          <w:tcPr>
            <w:gridSpan w:val="2"/>
            <w:tcBorders>
              <w:bottom w:val="single" w:color="000000" w:sz="8" w:space="0"/>
              <w:right w:val="single" w:color="000000" w:sz="8" w:space="0"/>
            </w:tcBorders>
            <w:tcMar>
              <w:left w:w="108" w:type="dxa"/>
              <w:top w:w="0" w:type="dxa"/>
              <w:right w:w="108" w:type="dxa"/>
              <w:bottom w:w="0" w:type="dxa"/>
            </w:tcMar>
            <w:tcW w:w="898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 </w:t>
            </w:r>
            <w:r>
              <w:rPr>
                <w:rFonts w:ascii="Times New Roman" w:hAnsi="Times New Roman" w:eastAsia="Times New Roman" w:cs="Times New Roman"/>
                <w:color w:val="000000"/>
                <w:sz w:val="22"/>
              </w:rPr>
              <w:t xml:space="preserve">Hình ảnh đăng bán:</w:t>
            </w:r>
            <w:r/>
          </w:p>
          <w:p>
            <w:pPr>
              <w:pBdr>
                <w:top w:val="none" w:color="000000" w:sz="4" w:space="0"/>
                <w:left w:val="none" w:color="000000" w:sz="4" w:space="0"/>
                <w:bottom w:val="none" w:color="000000" w:sz="4" w:space="0"/>
                <w:right w:val="none" w:color="000000" w:sz="4" w:space="0"/>
              </w:pBdr>
              <w:spacing w:line="276" w:lineRule="auto"/>
              <w:ind w:right="0" w:firstLine="0" w:left="0"/>
              <w:jc w:val="center"/>
              <w:rPr/>
            </w:pPr>
            <w:r>
              <mc:AlternateContent>
                <mc:Choice Requires="wpg">
                  <w:drawing>
                    <wp:inline xmlns:wp="http://schemas.openxmlformats.org/drawingml/2006/wordprocessingDrawing" distT="0" distB="0" distL="0" distR="0">
                      <wp:extent cx="5934075" cy="4962525"/>
                      <wp:effectExtent l="0" t="0" r="0" b="0"/>
                      <wp:docPr id="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58526" name=""/>
                              <pic:cNvPicPr>
                                <a:picLocks noChangeAspect="1"/>
                              </pic:cNvPicPr>
                              <pic:nvPr/>
                            </pic:nvPicPr>
                            <pic:blipFill rotWithShape="1">
                              <a:blip r:embed="rId50"/>
                              <a:stretch/>
                            </pic:blipFill>
                            <pic:spPr bwMode="auto">
                              <a:xfrm>
                                <a:off x="0" y="0"/>
                                <a:ext cx="5934074" cy="49625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7" o:spid="_x0000_s37" type="#_x0000_t75" style="width:467.25pt;height:390.75pt;mso-wrap-distance-left:0.00pt;mso-wrap-distance-top:0.00pt;mso-wrap-distance-right:0.00pt;mso-wrap-distance-bottom:0.00pt;z-index:1;" stroked="false">
                      <v:imagedata r:id="rId50" o:title=""/>
                      <o:lock v:ext="edit" rotation="t"/>
                    </v:shape>
                  </w:pict>
                </mc:Fallback>
              </mc:AlternateConten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  </w:t>
            </w:r>
            <w:r/>
          </w:p>
          <w:p>
            <w:pPr>
              <w:pBdr>
                <w:top w:val="none" w:color="000000" w:sz="4" w:space="0"/>
                <w:left w:val="none" w:color="000000" w:sz="4" w:space="0"/>
                <w:bottom w:val="none" w:color="000000" w:sz="4" w:space="0"/>
                <w:right w:val="none" w:color="000000" w:sz="4" w:space="0"/>
              </w:pBdr>
              <w:spacing w:line="276" w:lineRule="auto"/>
              <w:ind w:right="0" w:firstLine="0" w:left="0"/>
              <w:rPr>
                <w:rFonts w:ascii="Times New Roman" w:hAnsi="Times New Roman" w:eastAsia="Times New Roman" w:cs="Times New Roman"/>
                <w:color w:val="000000"/>
                <w:sz w:val="22"/>
                <w:szCs w:val="22"/>
                <w:highlight w:val="none"/>
              </w:rPr>
            </w:pPr>
            <w:r>
              <w:rPr>
                <w:rFonts w:ascii="Times New Roman" w:hAnsi="Times New Roman" w:eastAsia="Times New Roman" w:cs="Times New Roman"/>
                <w:color w:val="000000"/>
                <w:sz w:val="22"/>
              </w:rPr>
              <w:t xml:space="preserve">Hình ảnh tổng quan tài sản: </w:t>
            </w:r>
            <w:r>
              <w:rPr>
                <w:rFonts w:ascii="Times New Roman" w:hAnsi="Times New Roman" w:eastAsia="Times New Roman" w:cs="Times New Roman"/>
                <w:color w:val="000000"/>
                <w:sz w:val="22"/>
                <w:szCs w:val="22"/>
                <w:highlight w:val="none"/>
              </w:rPr>
            </w:r>
          </w:p>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highlight w:val="none"/>
              </w:rPr>
            </w:r>
            <w:r>
              <mc:AlternateContent>
                <mc:Choice Requires="wpg">
                  <w:drawing>
                    <wp:inline xmlns:wp="http://schemas.openxmlformats.org/drawingml/2006/wordprocessingDrawing" distT="0" distB="0" distL="0" distR="0">
                      <wp:extent cx="3619500" cy="4308210"/>
                      <wp:effectExtent l="0" t="0" r="0" b="0"/>
                      <wp:docPr id="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869239" name=""/>
                              <pic:cNvPicPr>
                                <a:picLocks noChangeAspect="1"/>
                              </pic:cNvPicPr>
                              <pic:nvPr/>
                            </pic:nvPicPr>
                            <pic:blipFill rotWithShape="1">
                              <a:blip r:embed="rId51"/>
                              <a:stretch/>
                            </pic:blipFill>
                            <pic:spPr bwMode="auto">
                              <a:xfrm flipH="0" flipV="0">
                                <a:off x="0" y="0"/>
                                <a:ext cx="3619499" cy="4308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 o:spid="_x0000_s38" type="#_x0000_t75" style="width:285.00pt;height:339.23pt;mso-wrap-distance-left:0.00pt;mso-wrap-distance-top:0.00pt;mso-wrap-distance-right:0.00pt;mso-wrap-distance-bottom:0.00pt;z-index:1;" stroked="false">
                      <v:imagedata r:id="rId51" o:title=""/>
                      <o:lock v:ext="edit" rotation="t"/>
                    </v:shape>
                  </w:pict>
                </mc:Fallback>
              </mc:AlternateContent>
            </w:r>
            <w:r>
              <w:rPr>
                <w:rFonts w:ascii="Times New Roman" w:hAnsi="Times New Roman" w:eastAsia="Times New Roman" w:cs="Times New Roman"/>
                <w:color w:val="000000"/>
                <w:sz w:val="22"/>
                <w:highlight w:val="none"/>
              </w:rPr>
            </w:r>
            <w:r/>
          </w:p>
        </w:tc>
      </w:tr>
    </w:tbl>
    <w:p>
      <w:pPr>
        <w:pBdr>
          <w:top w:val="none" w:color="000000" w:sz="4" w:space="0"/>
          <w:left w:val="none" w:color="000000" w:sz="4" w:space="0"/>
          <w:bottom w:val="none" w:color="000000" w:sz="4" w:space="0"/>
          <w:right w:val="none" w:color="000000" w:sz="4" w:space="0"/>
        </w:pBdr>
        <w:spacing w:after="200" w:line="276" w:lineRule="auto"/>
        <w:ind w:right="0" w:firstLine="0" w:left="0"/>
        <w:jc w:val="center"/>
        <w:rPr/>
      </w:pPr>
      <w:r>
        <w:rPr>
          <w:rFonts w:ascii="Times New Roman" w:hAnsi="Times New Roman" w:eastAsia="Times New Roman" w:cs="Times New Roman"/>
          <w:color w:val="000000"/>
          <w:sz w:val="24"/>
        </w:rPr>
        <w:t xml:space="preserve"> </w:t>
      </w:r>
      <w:r/>
    </w:p>
    <w:tbl>
      <w:tblPr>
        <w:tblStyle w:val="1049"/>
        <w:tblInd w:w="108"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427"/>
        <w:gridCol w:w="4776"/>
      </w:tblGrid>
      <w:tr>
        <w:trPr>
          <w:trHeight w:val="31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Người thu thập thông tin</w:t>
            </w:r>
            <w:r/>
          </w:p>
        </w:tc>
      </w:tr>
      <w:tr>
        <w:trPr>
          <w:trHeight w:val="322"/>
        </w:trPr>
        <w:tc>
          <w:tcPr>
            <w:tcBorders/>
            <w:tcMar>
              <w:left w:w="108" w:type="dxa"/>
              <w:top w:w="0" w:type="dxa"/>
              <w:right w:w="108" w:type="dxa"/>
              <w:bottom w:w="0" w:type="dxa"/>
            </w:tcMar>
            <w:tcW w:w="442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Lê Đình Duy</w:t>
            </w:r>
            <w:r/>
          </w:p>
        </w:tc>
      </w:tr>
      <w:tr>
        <w:trPr>
          <w:trHeight w:val="312"/>
        </w:trPr>
        <w:tc>
          <w:tcPr>
            <w:tcBorders/>
            <w:tcMar>
              <w:left w:w="108" w:type="dxa"/>
              <w:top w:w="0" w:type="dxa"/>
              <w:right w:w="108" w:type="dxa"/>
              <w:bottom w:w="0" w:type="dxa"/>
            </w:tcMar>
            <w:tcW w:w="4427" w:type="dxa"/>
            <w:vAlign w:val="bottom"/>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c>
          <w:tcPr>
            <w:tcBorders/>
            <w:tcMar>
              <w:left w:w="108" w:type="dxa"/>
              <w:top w:w="0" w:type="dxa"/>
              <w:right w:w="108" w:type="dxa"/>
              <w:bottom w:w="0" w:type="dxa"/>
            </w:tcMar>
            <w:tcW w:w="4776"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 </w:t>
            </w:r>
            <w:r/>
          </w:p>
        </w:tc>
      </w:tr>
    </w:tbl>
    <w:p>
      <w:pPr>
        <w:pBdr/>
        <w:spacing/>
        <w:ind/>
        <w:rPr/>
      </w:pPr>
      <w: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46</w:t>
    </w:r>
    <w:r>
      <w:rPr>
        <w:caps/>
        <w:color w:val="000000" w:themeColor="text1"/>
      </w:rPr>
      <w:fldChar w:fldCharType="end"/>
    </w:r>
    <w:r>
      <w:rPr>
        <w:caps/>
        <w:color w:val="000000" w:themeColor="text1"/>
      </w:rPr>
    </w:r>
    <w:r>
      <w:rPr>
        <w:caps/>
        <w:color w:val="000000" w:themeColor="text1"/>
      </w:rPr>
    </w:r>
  </w:p>
  <w:p>
    <w:pPr>
      <w:pStyle w:val="104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4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40">
    <w:nsid w:val="0A6F5731"/>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1">
    <w:nsid w:val="0533CE8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536C8E27"/>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3">
    <w:nsid w:val="640D20BC"/>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4">
    <w:nsid w:val="1C4BF552"/>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5">
    <w:nsid w:val="045948C1"/>
    <w:lvl w:ilvl="0">
      <w:isLgl w:val="false"/>
      <w:lvlJc w:val="left"/>
      <w:lvlText w:val=""/>
      <w:numFmt w:val="bullet"/>
      <w:pPr>
        <w:pBdr/>
        <w:spacing/>
        <w:ind w:hanging="360" w:left="1080"/>
      </w:pPr>
      <w:rPr>
        <w:rFonts w:hint="default" w:ascii="Wingdings" w:hAnsi="Wingdings" w:eastAsia="Wingdings" w:cs="Wingdings"/>
      </w:rPr>
      <w:start w:val="1"/>
      <w:suff w:val="tab"/>
    </w:lvl>
    <w:lvl w:ilvl="1">
      <w:isLgl w:val="false"/>
      <w:lvlJc w:val="left"/>
      <w:lvlText w:val="o"/>
      <w:numFmt w:val="bullet"/>
      <w:pPr>
        <w:pBdr/>
        <w:spacing/>
        <w:ind w:hanging="360" w:left="1800"/>
      </w:pPr>
      <w:rPr>
        <w:rFonts w:hint="default" w:ascii="Courier New" w:hAnsi="Courier New" w:eastAsia="Courier New" w:cs="Courier New"/>
      </w:rPr>
      <w:start w:val="1"/>
      <w:suff w:val="tab"/>
    </w:lvl>
    <w:lvl w:ilvl="2">
      <w:isLgl w:val="false"/>
      <w:lvlJc w:val="left"/>
      <w:lvlText w:val=""/>
      <w:numFmt w:val="bullet"/>
      <w:pPr>
        <w:pBdr/>
        <w:spacing/>
        <w:ind w:hanging="360" w:left="2520"/>
      </w:pPr>
      <w:rPr>
        <w:rFonts w:hint="default" w:ascii="Wingdings" w:hAnsi="Wingdings" w:eastAsia="Wingdings" w:cs="Wingdings"/>
      </w:rPr>
      <w:start w:val="1"/>
      <w:suff w:val="tab"/>
    </w:lvl>
    <w:lvl w:ilvl="3">
      <w:isLgl w:val="false"/>
      <w:lvlJc w:val="left"/>
      <w:lvlText w:val=""/>
      <w:numFmt w:val="bullet"/>
      <w:pPr>
        <w:pBdr/>
        <w:spacing/>
        <w:ind w:hanging="360" w:left="3240"/>
      </w:pPr>
      <w:rPr>
        <w:rFonts w:hint="default" w:ascii="Symbol" w:hAnsi="Symbol" w:eastAsia="Symbol" w:cs="Symbol"/>
      </w:rPr>
      <w:start w:val="1"/>
      <w:suff w:val="tab"/>
    </w:lvl>
    <w:lvl w:ilvl="4">
      <w:isLgl w:val="false"/>
      <w:lvlJc w:val="left"/>
      <w:lvlText w:val="o"/>
      <w:numFmt w:val="bullet"/>
      <w:pPr>
        <w:pBdr/>
        <w:spacing/>
        <w:ind w:hanging="360" w:left="3960"/>
      </w:pPr>
      <w:rPr>
        <w:rFonts w:hint="default" w:ascii="Courier New" w:hAnsi="Courier New" w:eastAsia="Courier New" w:cs="Courier New"/>
      </w:rPr>
      <w:start w:val="1"/>
      <w:suff w:val="tab"/>
    </w:lvl>
    <w:lvl w:ilvl="5">
      <w:isLgl w:val="false"/>
      <w:lvlJc w:val="left"/>
      <w:lvlText w:val=""/>
      <w:numFmt w:val="bullet"/>
      <w:pPr>
        <w:pBdr/>
        <w:spacing/>
        <w:ind w:hanging="360" w:left="4680"/>
      </w:pPr>
      <w:rPr>
        <w:rFonts w:hint="default" w:ascii="Wingdings" w:hAnsi="Wingdings" w:eastAsia="Wingdings" w:cs="Wingdings"/>
      </w:rPr>
      <w:start w:val="1"/>
      <w:suff w:val="tab"/>
    </w:lvl>
    <w:lvl w:ilvl="6">
      <w:isLgl w:val="false"/>
      <w:lvlJc w:val="left"/>
      <w:lvlText w:val=""/>
      <w:numFmt w:val="bullet"/>
      <w:pPr>
        <w:pBdr/>
        <w:spacing/>
        <w:ind w:hanging="360" w:left="5400"/>
      </w:pPr>
      <w:rPr>
        <w:rFonts w:hint="default" w:ascii="Symbol" w:hAnsi="Symbol" w:eastAsia="Symbol" w:cs="Symbol"/>
      </w:rPr>
      <w:start w:val="1"/>
      <w:suff w:val="tab"/>
    </w:lvl>
    <w:lvl w:ilvl="7">
      <w:isLgl w:val="false"/>
      <w:lvlJc w:val="left"/>
      <w:lvlText w:val="o"/>
      <w:numFmt w:val="bullet"/>
      <w:pPr>
        <w:pBdr/>
        <w:spacing/>
        <w:ind w:hanging="360" w:left="6120"/>
      </w:pPr>
      <w:rPr>
        <w:rFonts w:hint="default" w:ascii="Courier New" w:hAnsi="Courier New" w:eastAsia="Courier New" w:cs="Courier New"/>
      </w:rPr>
      <w:start w:val="1"/>
      <w:suff w:val="tab"/>
    </w:lvl>
    <w:lvl w:ilvl="8">
      <w:isLgl w:val="false"/>
      <w:lvlJc w:val="left"/>
      <w:lvlText w:val=""/>
      <w:numFmt w:val="bullet"/>
      <w:pPr>
        <w:pBdr/>
        <w:spacing/>
        <w:ind w:hanging="360" w:left="6840"/>
      </w:pPr>
      <w:rPr>
        <w:rFonts w:hint="default" w:ascii="Wingdings" w:hAnsi="Wingdings" w:eastAsia="Wingdings" w:cs="Wingdings"/>
      </w:rPr>
      <w:start w:val="1"/>
      <w:suff w:val="tab"/>
    </w:lvl>
  </w:abstractNum>
  <w:abstractNum w:abstractNumId="46">
    <w:nsid w:val="73EA5116"/>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 w:numId="42">
    <w:abstractNumId w:val="40"/>
  </w:num>
  <w:num w:numId="43">
    <w:abstractNumId w:val="41"/>
  </w:num>
  <w:num w:numId="44">
    <w:abstractNumId w:val="42"/>
  </w:num>
  <w:num w:numId="45">
    <w:abstractNumId w:val="43"/>
  </w:num>
  <w:num w:numId="46">
    <w:abstractNumId w:val="44"/>
  </w:num>
  <w:num w:numId="47">
    <w:abstractNumId w:val="45"/>
  </w:num>
  <w:num w:numId="48">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7">
    <w:name w:val="Table Grid Light"/>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1"/>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Plain Table 2"/>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Plain Table 3"/>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Plain Table 4"/>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Plain Table 5"/>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w:basedOn w:val="102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1"/>
    <w:basedOn w:val="10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2"/>
    <w:basedOn w:val="10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3"/>
    <w:basedOn w:val="10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4"/>
    <w:basedOn w:val="10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1 Light - Accent 5"/>
    <w:basedOn w:val="10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1 Light - Accent 6"/>
    <w:basedOn w:val="10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w:basedOn w:val="10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1"/>
    <w:basedOn w:val="10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2 - Accent 5"/>
    <w:basedOn w:val="10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2 - Accent 6"/>
    <w:basedOn w:val="10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w:basedOn w:val="10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1"/>
    <w:basedOn w:val="10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3 - Accent 5"/>
    <w:basedOn w:val="10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3 - Accent 6"/>
    <w:basedOn w:val="10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w:basedOn w:val="102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1"/>
    <w:basedOn w:val="102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2"/>
    <w:basedOn w:val="102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 Accent 3"/>
    <w:basedOn w:val="102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4"/>
    <w:basedOn w:val="102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4 - Accent 5"/>
    <w:basedOn w:val="102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4 - Accent 6"/>
    <w:basedOn w:val="102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Accent 1"/>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 Accent 2"/>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 Accent 3"/>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Accent 4"/>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5 Dark - Accent 5"/>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5 Dark - Accent 6"/>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6 Colorful"/>
    <w:basedOn w:val="102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9">
    <w:name w:val="Grid Table 6 Colorful - Accent 1"/>
    <w:basedOn w:val="102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900">
    <w:name w:val="Grid Table 6 Colorful - Accent 2"/>
    <w:basedOn w:val="10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901">
    <w:name w:val="Grid Table 6 Colorful - Accent 3"/>
    <w:basedOn w:val="102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2">
    <w:name w:val="Grid Table 6 Colorful - Accent 4"/>
    <w:basedOn w:val="10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3">
    <w:name w:val="Grid Table 6 Colorful - Accent 5"/>
    <w:basedOn w:val="102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4">
    <w:name w:val="Grid Table 6 Colorful - Accent 6"/>
    <w:basedOn w:val="102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5">
    <w:name w:val="Grid Table 7 Colorful"/>
    <w:basedOn w:val="102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1"/>
    <w:basedOn w:val="102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7 Colorful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Grid Table 7 Colorful - Accent 5"/>
    <w:basedOn w:val="102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Grid Table 7 Colorful - Accent 6"/>
    <w:basedOn w:val="102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1"/>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2"/>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3"/>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4"/>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1 Light - Accent 5"/>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1 Light - Accent 6"/>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w:basedOn w:val="102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1"/>
    <w:basedOn w:val="102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2"/>
    <w:basedOn w:val="102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3"/>
    <w:basedOn w:val="102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4"/>
    <w:basedOn w:val="102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2 - Accent 5"/>
    <w:basedOn w:val="102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2 - Accent 6"/>
    <w:basedOn w:val="102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w:basedOn w:val="10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1"/>
    <w:basedOn w:val="102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2"/>
    <w:basedOn w:val="10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3"/>
    <w:basedOn w:val="102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4"/>
    <w:basedOn w:val="10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3 - Accent 5"/>
    <w:basedOn w:val="102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3 - Accent 6"/>
    <w:basedOn w:val="102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w:basedOn w:val="10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1"/>
    <w:basedOn w:val="102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2"/>
    <w:basedOn w:val="102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3"/>
    <w:basedOn w:val="102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4"/>
    <w:basedOn w:val="102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4 - Accent 5"/>
    <w:basedOn w:val="102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4 - Accent 6"/>
    <w:basedOn w:val="102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5 Dark"/>
    <w:basedOn w:val="102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1"/>
    <w:basedOn w:val="102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2"/>
    <w:basedOn w:val="102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3"/>
    <w:basedOn w:val="102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4"/>
    <w:basedOn w:val="102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5 Dark - Accent 5"/>
    <w:basedOn w:val="102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6">
    <w:name w:val="List Table 5 Dark - Accent 6"/>
    <w:basedOn w:val="102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7">
    <w:name w:val="List Table 6 Colorful"/>
    <w:basedOn w:val="102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1"/>
    <w:basedOn w:val="102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2"/>
    <w:basedOn w:val="102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6 Colorful - Accent 3"/>
    <w:basedOn w:val="102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4"/>
    <w:basedOn w:val="102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6 Colorful - Accent 5"/>
    <w:basedOn w:val="102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st Table 6 Colorful - Accent 6"/>
    <w:basedOn w:val="102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st Table 7 Colorful"/>
    <w:basedOn w:val="102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5">
    <w:name w:val="List Table 7 Colorful - Accent 1"/>
    <w:basedOn w:val="102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6">
    <w:name w:val="List Table 7 Colorful - Accent 2"/>
    <w:basedOn w:val="102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7">
    <w:name w:val="List Table 7 Colorful - Accent 3"/>
    <w:basedOn w:val="102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8">
    <w:name w:val="List Table 7 Colorful - Accent 4"/>
    <w:basedOn w:val="102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9">
    <w:name w:val="List Table 7 Colorful - Accent 5"/>
    <w:basedOn w:val="102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60">
    <w:name w:val="List Table 7 Colorful - Accent 6"/>
    <w:basedOn w:val="102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61">
    <w:name w:val="Lined - Accent"/>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1"/>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2"/>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ned - Accent 3"/>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4"/>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Lined - Accent 5"/>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Lined - Accent 6"/>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w:basedOn w:val="102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1"/>
    <w:basedOn w:val="102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2"/>
    <w:basedOn w:val="102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3"/>
    <w:basedOn w:val="102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4"/>
    <w:basedOn w:val="102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amp; Lined - Accent 5"/>
    <w:basedOn w:val="102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amp; Lined - Accent 6"/>
    <w:basedOn w:val="102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w:basedOn w:val="102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1"/>
    <w:basedOn w:val="10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2"/>
    <w:basedOn w:val="10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 Accent 3"/>
    <w:basedOn w:val="10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4"/>
    <w:basedOn w:val="10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0">
    <w:name w:val="Bordered - Accent 5"/>
    <w:basedOn w:val="10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81">
    <w:name w:val="Bordered - Accent 6"/>
    <w:basedOn w:val="10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2">
    <w:name w:val="Heading 5"/>
    <w:basedOn w:val="1023"/>
    <w:next w:val="1023"/>
    <w:link w:val="98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3">
    <w:name w:val="Heading 6"/>
    <w:basedOn w:val="1023"/>
    <w:next w:val="1023"/>
    <w:link w:val="98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4">
    <w:name w:val="Heading 7"/>
    <w:basedOn w:val="1023"/>
    <w:next w:val="1023"/>
    <w:link w:val="98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5">
    <w:name w:val="Heading 8"/>
    <w:basedOn w:val="1023"/>
    <w:next w:val="1023"/>
    <w:link w:val="99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6">
    <w:name w:val="Heading 9"/>
    <w:basedOn w:val="1023"/>
    <w:next w:val="1023"/>
    <w:link w:val="99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7">
    <w:name w:val="Heading 5 Char"/>
    <w:basedOn w:val="1028"/>
    <w:link w:val="982"/>
    <w:uiPriority w:val="9"/>
    <w:pPr>
      <w:pBdr/>
      <w:spacing/>
      <w:ind/>
    </w:pPr>
    <w:rPr>
      <w:rFonts w:ascii="Arial" w:hAnsi="Arial" w:eastAsia="Arial" w:cs="Arial"/>
      <w:color w:val="0f4761" w:themeColor="accent1" w:themeShade="BF"/>
    </w:rPr>
  </w:style>
  <w:style w:type="character" w:styleId="988">
    <w:name w:val="Heading 6 Char"/>
    <w:basedOn w:val="1028"/>
    <w:link w:val="983"/>
    <w:uiPriority w:val="9"/>
    <w:pPr>
      <w:pBdr/>
      <w:spacing/>
      <w:ind/>
    </w:pPr>
    <w:rPr>
      <w:rFonts w:ascii="Arial" w:hAnsi="Arial" w:eastAsia="Arial" w:cs="Arial"/>
      <w:i/>
      <w:iCs/>
      <w:color w:val="595959" w:themeColor="text1" w:themeTint="A6"/>
    </w:rPr>
  </w:style>
  <w:style w:type="character" w:styleId="989">
    <w:name w:val="Heading 7 Char"/>
    <w:basedOn w:val="1028"/>
    <w:link w:val="984"/>
    <w:uiPriority w:val="9"/>
    <w:pPr>
      <w:pBdr/>
      <w:spacing/>
      <w:ind/>
    </w:pPr>
    <w:rPr>
      <w:rFonts w:ascii="Arial" w:hAnsi="Arial" w:eastAsia="Arial" w:cs="Arial"/>
      <w:color w:val="595959" w:themeColor="text1" w:themeTint="A6"/>
    </w:rPr>
  </w:style>
  <w:style w:type="character" w:styleId="990">
    <w:name w:val="Heading 8 Char"/>
    <w:basedOn w:val="1028"/>
    <w:link w:val="985"/>
    <w:uiPriority w:val="9"/>
    <w:pPr>
      <w:pBdr/>
      <w:spacing/>
      <w:ind/>
    </w:pPr>
    <w:rPr>
      <w:rFonts w:ascii="Arial" w:hAnsi="Arial" w:eastAsia="Arial" w:cs="Arial"/>
      <w:i/>
      <w:iCs/>
      <w:color w:val="272727" w:themeColor="text1" w:themeTint="D8"/>
    </w:rPr>
  </w:style>
  <w:style w:type="character" w:styleId="991">
    <w:name w:val="Heading 9 Char"/>
    <w:basedOn w:val="1028"/>
    <w:link w:val="986"/>
    <w:uiPriority w:val="9"/>
    <w:pPr>
      <w:pBdr/>
      <w:spacing/>
      <w:ind/>
    </w:pPr>
    <w:rPr>
      <w:rFonts w:ascii="Arial" w:hAnsi="Arial" w:eastAsia="Arial" w:cs="Arial"/>
      <w:i/>
      <w:iCs/>
      <w:color w:val="272727" w:themeColor="text1" w:themeTint="D8"/>
    </w:rPr>
  </w:style>
  <w:style w:type="paragraph" w:styleId="992">
    <w:name w:val="Subtitle"/>
    <w:basedOn w:val="1023"/>
    <w:next w:val="1023"/>
    <w:link w:val="993"/>
    <w:uiPriority w:val="11"/>
    <w:qFormat/>
    <w:pPr>
      <w:numPr>
        <w:ilvl w:val="1"/>
      </w:numPr>
      <w:pBdr/>
      <w:spacing/>
      <w:ind/>
    </w:pPr>
    <w:rPr>
      <w:color w:val="595959" w:themeColor="text1" w:themeTint="A6"/>
      <w:spacing w:val="15"/>
      <w:sz w:val="28"/>
      <w:szCs w:val="28"/>
    </w:rPr>
  </w:style>
  <w:style w:type="character" w:styleId="993">
    <w:name w:val="Subtitle Char"/>
    <w:basedOn w:val="1028"/>
    <w:link w:val="992"/>
    <w:uiPriority w:val="11"/>
    <w:pPr>
      <w:pBdr/>
      <w:spacing/>
      <w:ind/>
    </w:pPr>
    <w:rPr>
      <w:color w:val="595959" w:themeColor="text1" w:themeTint="A6"/>
      <w:spacing w:val="15"/>
      <w:sz w:val="28"/>
      <w:szCs w:val="28"/>
    </w:rPr>
  </w:style>
  <w:style w:type="paragraph" w:styleId="994">
    <w:name w:val="Quote"/>
    <w:basedOn w:val="1023"/>
    <w:next w:val="1023"/>
    <w:link w:val="995"/>
    <w:uiPriority w:val="29"/>
    <w:qFormat/>
    <w:pPr>
      <w:pBdr/>
      <w:spacing w:before="160"/>
      <w:ind/>
      <w:jc w:val="center"/>
    </w:pPr>
    <w:rPr>
      <w:i/>
      <w:iCs/>
      <w:color w:val="404040" w:themeColor="text1" w:themeTint="BF"/>
    </w:rPr>
  </w:style>
  <w:style w:type="character" w:styleId="995">
    <w:name w:val="Quote Char"/>
    <w:basedOn w:val="1028"/>
    <w:link w:val="994"/>
    <w:uiPriority w:val="29"/>
    <w:pPr>
      <w:pBdr/>
      <w:spacing/>
      <w:ind/>
    </w:pPr>
    <w:rPr>
      <w:i/>
      <w:iCs/>
      <w:color w:val="404040" w:themeColor="text1" w:themeTint="BF"/>
    </w:rPr>
  </w:style>
  <w:style w:type="character" w:styleId="996">
    <w:name w:val="Intense Emphasis"/>
    <w:basedOn w:val="1028"/>
    <w:uiPriority w:val="21"/>
    <w:qFormat/>
    <w:pPr>
      <w:pBdr/>
      <w:spacing/>
      <w:ind/>
    </w:pPr>
    <w:rPr>
      <w:i/>
      <w:iCs/>
      <w:color w:val="0f4761" w:themeColor="accent1" w:themeShade="BF"/>
    </w:rPr>
  </w:style>
  <w:style w:type="paragraph" w:styleId="997">
    <w:name w:val="Intense Quote"/>
    <w:basedOn w:val="1023"/>
    <w:next w:val="1023"/>
    <w:link w:val="99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8">
    <w:name w:val="Intense Quote Char"/>
    <w:basedOn w:val="1028"/>
    <w:link w:val="997"/>
    <w:uiPriority w:val="30"/>
    <w:pPr>
      <w:pBdr/>
      <w:spacing/>
      <w:ind/>
    </w:pPr>
    <w:rPr>
      <w:i/>
      <w:iCs/>
      <w:color w:val="0f4761" w:themeColor="accent1" w:themeShade="BF"/>
    </w:rPr>
  </w:style>
  <w:style w:type="character" w:styleId="999">
    <w:name w:val="Intense Reference"/>
    <w:basedOn w:val="1028"/>
    <w:uiPriority w:val="32"/>
    <w:qFormat/>
    <w:pPr>
      <w:pBdr/>
      <w:spacing/>
      <w:ind/>
    </w:pPr>
    <w:rPr>
      <w:b/>
      <w:bCs/>
      <w:smallCaps/>
      <w:color w:val="0f4761" w:themeColor="accent1" w:themeShade="BF"/>
      <w:spacing w:val="5"/>
    </w:rPr>
  </w:style>
  <w:style w:type="paragraph" w:styleId="1000">
    <w:name w:val="No Spacing"/>
    <w:basedOn w:val="1023"/>
    <w:uiPriority w:val="1"/>
    <w:qFormat/>
    <w:pPr>
      <w:pBdr/>
      <w:spacing w:after="0" w:line="240" w:lineRule="auto"/>
      <w:ind/>
    </w:pPr>
  </w:style>
  <w:style w:type="character" w:styleId="1001">
    <w:name w:val="Subtle Emphasis"/>
    <w:basedOn w:val="1028"/>
    <w:uiPriority w:val="19"/>
    <w:qFormat/>
    <w:pPr>
      <w:pBdr/>
      <w:spacing/>
      <w:ind/>
    </w:pPr>
    <w:rPr>
      <w:i/>
      <w:iCs/>
      <w:color w:val="404040" w:themeColor="text1" w:themeTint="BF"/>
    </w:rPr>
  </w:style>
  <w:style w:type="character" w:styleId="1002">
    <w:name w:val="Subtle Reference"/>
    <w:basedOn w:val="1028"/>
    <w:uiPriority w:val="31"/>
    <w:qFormat/>
    <w:pPr>
      <w:pBdr/>
      <w:spacing/>
      <w:ind/>
    </w:pPr>
    <w:rPr>
      <w:smallCaps/>
      <w:color w:val="5a5a5a" w:themeColor="text1" w:themeTint="A5"/>
    </w:rPr>
  </w:style>
  <w:style w:type="character" w:styleId="1003">
    <w:name w:val="Book Title"/>
    <w:basedOn w:val="1028"/>
    <w:uiPriority w:val="33"/>
    <w:qFormat/>
    <w:pPr>
      <w:pBdr/>
      <w:spacing/>
      <w:ind/>
    </w:pPr>
    <w:rPr>
      <w:b/>
      <w:bCs/>
      <w:i/>
      <w:iCs/>
      <w:spacing w:val="5"/>
    </w:rPr>
  </w:style>
  <w:style w:type="paragraph" w:styleId="1004">
    <w:name w:val="Caption"/>
    <w:basedOn w:val="1023"/>
    <w:next w:val="1023"/>
    <w:uiPriority w:val="35"/>
    <w:unhideWhenUsed/>
    <w:qFormat/>
    <w:pPr>
      <w:pBdr/>
      <w:spacing w:after="200" w:line="240" w:lineRule="auto"/>
      <w:ind/>
    </w:pPr>
    <w:rPr>
      <w:i/>
      <w:iCs/>
      <w:color w:val="0e2841" w:themeColor="text2"/>
      <w:sz w:val="18"/>
      <w:szCs w:val="18"/>
    </w:rPr>
  </w:style>
  <w:style w:type="paragraph" w:styleId="1005">
    <w:name w:val="footnote text"/>
    <w:basedOn w:val="1023"/>
    <w:link w:val="1006"/>
    <w:uiPriority w:val="99"/>
    <w:semiHidden/>
    <w:unhideWhenUsed/>
    <w:pPr>
      <w:pBdr/>
      <w:spacing w:after="0" w:line="240" w:lineRule="auto"/>
      <w:ind/>
    </w:pPr>
    <w:rPr>
      <w:sz w:val="20"/>
      <w:szCs w:val="20"/>
    </w:rPr>
  </w:style>
  <w:style w:type="character" w:styleId="1006">
    <w:name w:val="Footnote Text Char"/>
    <w:basedOn w:val="1028"/>
    <w:link w:val="1005"/>
    <w:uiPriority w:val="99"/>
    <w:semiHidden/>
    <w:pPr>
      <w:pBdr/>
      <w:spacing/>
      <w:ind/>
    </w:pPr>
    <w:rPr>
      <w:sz w:val="20"/>
      <w:szCs w:val="20"/>
    </w:rPr>
  </w:style>
  <w:style w:type="character" w:styleId="1007">
    <w:name w:val="footnote reference"/>
    <w:basedOn w:val="1028"/>
    <w:uiPriority w:val="99"/>
    <w:semiHidden/>
    <w:unhideWhenUsed/>
    <w:pPr>
      <w:pBdr/>
      <w:spacing/>
      <w:ind/>
    </w:pPr>
    <w:rPr>
      <w:vertAlign w:val="superscript"/>
    </w:rPr>
  </w:style>
  <w:style w:type="paragraph" w:styleId="1008">
    <w:name w:val="endnote text"/>
    <w:basedOn w:val="1023"/>
    <w:link w:val="1009"/>
    <w:uiPriority w:val="99"/>
    <w:semiHidden/>
    <w:unhideWhenUsed/>
    <w:pPr>
      <w:pBdr/>
      <w:spacing w:after="0" w:line="240" w:lineRule="auto"/>
      <w:ind/>
    </w:pPr>
    <w:rPr>
      <w:sz w:val="20"/>
      <w:szCs w:val="20"/>
    </w:rPr>
  </w:style>
  <w:style w:type="character" w:styleId="1009">
    <w:name w:val="Endnote Text Char"/>
    <w:basedOn w:val="1028"/>
    <w:link w:val="1008"/>
    <w:uiPriority w:val="99"/>
    <w:semiHidden/>
    <w:pPr>
      <w:pBdr/>
      <w:spacing/>
      <w:ind/>
    </w:pPr>
    <w:rPr>
      <w:sz w:val="20"/>
      <w:szCs w:val="20"/>
    </w:rPr>
  </w:style>
  <w:style w:type="character" w:styleId="1010">
    <w:name w:val="endnote reference"/>
    <w:basedOn w:val="1028"/>
    <w:uiPriority w:val="99"/>
    <w:semiHidden/>
    <w:unhideWhenUsed/>
    <w:pPr>
      <w:pBdr/>
      <w:spacing/>
      <w:ind/>
    </w:pPr>
    <w:rPr>
      <w:vertAlign w:val="superscript"/>
    </w:rPr>
  </w:style>
  <w:style w:type="paragraph" w:styleId="1011">
    <w:name w:val="toc 1"/>
    <w:basedOn w:val="1023"/>
    <w:next w:val="1023"/>
    <w:uiPriority w:val="39"/>
    <w:unhideWhenUsed/>
    <w:pPr>
      <w:pBdr/>
      <w:spacing w:after="100"/>
      <w:ind/>
    </w:pPr>
  </w:style>
  <w:style w:type="paragraph" w:styleId="1012">
    <w:name w:val="toc 2"/>
    <w:basedOn w:val="1023"/>
    <w:next w:val="1023"/>
    <w:uiPriority w:val="39"/>
    <w:unhideWhenUsed/>
    <w:pPr>
      <w:pBdr/>
      <w:spacing w:after="100"/>
      <w:ind w:left="220"/>
    </w:pPr>
  </w:style>
  <w:style w:type="paragraph" w:styleId="1013">
    <w:name w:val="toc 3"/>
    <w:basedOn w:val="1023"/>
    <w:next w:val="1023"/>
    <w:uiPriority w:val="39"/>
    <w:unhideWhenUsed/>
    <w:pPr>
      <w:pBdr/>
      <w:spacing w:after="100"/>
      <w:ind w:left="440"/>
    </w:pPr>
  </w:style>
  <w:style w:type="paragraph" w:styleId="1014">
    <w:name w:val="toc 4"/>
    <w:basedOn w:val="1023"/>
    <w:next w:val="1023"/>
    <w:uiPriority w:val="39"/>
    <w:unhideWhenUsed/>
    <w:pPr>
      <w:pBdr/>
      <w:spacing w:after="100"/>
      <w:ind w:left="660"/>
    </w:pPr>
  </w:style>
  <w:style w:type="paragraph" w:styleId="1015">
    <w:name w:val="toc 5"/>
    <w:basedOn w:val="1023"/>
    <w:next w:val="1023"/>
    <w:uiPriority w:val="39"/>
    <w:unhideWhenUsed/>
    <w:pPr>
      <w:pBdr/>
      <w:spacing w:after="100"/>
      <w:ind w:left="880"/>
    </w:pPr>
  </w:style>
  <w:style w:type="paragraph" w:styleId="1016">
    <w:name w:val="toc 6"/>
    <w:basedOn w:val="1023"/>
    <w:next w:val="1023"/>
    <w:uiPriority w:val="39"/>
    <w:unhideWhenUsed/>
    <w:pPr>
      <w:pBdr/>
      <w:spacing w:after="100"/>
      <w:ind w:left="1100"/>
    </w:pPr>
  </w:style>
  <w:style w:type="paragraph" w:styleId="1017">
    <w:name w:val="toc 7"/>
    <w:basedOn w:val="1023"/>
    <w:next w:val="1023"/>
    <w:uiPriority w:val="39"/>
    <w:unhideWhenUsed/>
    <w:pPr>
      <w:pBdr/>
      <w:spacing w:after="100"/>
      <w:ind w:left="1320"/>
    </w:pPr>
  </w:style>
  <w:style w:type="paragraph" w:styleId="1018">
    <w:name w:val="toc 8"/>
    <w:basedOn w:val="1023"/>
    <w:next w:val="1023"/>
    <w:uiPriority w:val="39"/>
    <w:unhideWhenUsed/>
    <w:pPr>
      <w:pBdr/>
      <w:spacing w:after="100"/>
      <w:ind w:left="1540"/>
    </w:pPr>
  </w:style>
  <w:style w:type="paragraph" w:styleId="1019">
    <w:name w:val="toc 9"/>
    <w:basedOn w:val="1023"/>
    <w:next w:val="1023"/>
    <w:uiPriority w:val="39"/>
    <w:unhideWhenUsed/>
    <w:pPr>
      <w:pBdr/>
      <w:spacing w:after="100"/>
      <w:ind w:left="1760"/>
    </w:pPr>
  </w:style>
  <w:style w:type="character" w:styleId="1020">
    <w:name w:val="Placeholder Text"/>
    <w:basedOn w:val="1028"/>
    <w:uiPriority w:val="99"/>
    <w:semiHidden/>
    <w:pPr>
      <w:pBdr/>
      <w:spacing/>
      <w:ind/>
    </w:pPr>
    <w:rPr>
      <w:color w:val="666666"/>
    </w:rPr>
  </w:style>
  <w:style w:type="paragraph" w:styleId="1021">
    <w:name w:val="TOC Heading"/>
    <w:uiPriority w:val="39"/>
    <w:unhideWhenUsed/>
    <w:pPr>
      <w:pBdr/>
      <w:spacing/>
      <w:ind/>
    </w:pPr>
  </w:style>
  <w:style w:type="paragraph" w:styleId="1022">
    <w:name w:val="table of figures"/>
    <w:basedOn w:val="1023"/>
    <w:next w:val="1023"/>
    <w:uiPriority w:val="99"/>
    <w:unhideWhenUsed/>
    <w:pPr>
      <w:pBdr/>
      <w:spacing w:after="0" w:afterAutospacing="0"/>
      <w:ind/>
    </w:pPr>
  </w:style>
  <w:style w:type="paragraph" w:styleId="1023" w:default="1">
    <w:name w:val="Normal"/>
    <w:qFormat/>
    <w:pPr>
      <w:pBdr/>
      <w:spacing w:after="0" w:line="240" w:lineRule="auto"/>
      <w:ind/>
    </w:pPr>
    <w:rPr>
      <w:rFonts w:ascii="Times New Roman" w:hAnsi="Times New Roman" w:eastAsia="Times New Roman" w:cs="Times New Roman"/>
      <w:sz w:val="24"/>
      <w:szCs w:val="24"/>
    </w:rPr>
  </w:style>
  <w:style w:type="paragraph" w:styleId="1024">
    <w:name w:val="Heading 1"/>
    <w:basedOn w:val="1023"/>
    <w:next w:val="1023"/>
    <w:link w:val="1031"/>
    <w:qFormat/>
    <w:pPr>
      <w:keepNext w:val="true"/>
      <w:pBdr/>
      <w:spacing w:after="120" w:before="120"/>
      <w:ind/>
      <w:jc w:val="center"/>
      <w:outlineLvl w:val="0"/>
    </w:pPr>
    <w:rPr>
      <w:b/>
      <w:bCs/>
      <w:sz w:val="27"/>
      <w:szCs w:val="27"/>
    </w:rPr>
  </w:style>
  <w:style w:type="paragraph" w:styleId="1025">
    <w:name w:val="Heading 2"/>
    <w:basedOn w:val="1023"/>
    <w:next w:val="1023"/>
    <w:link w:val="103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6">
    <w:name w:val="Heading 3"/>
    <w:basedOn w:val="1023"/>
    <w:next w:val="1023"/>
    <w:link w:val="1033"/>
    <w:qFormat/>
    <w:pPr>
      <w:keepNext w:val="true"/>
      <w:pBdr/>
      <w:spacing w:before="60"/>
      <w:ind/>
      <w:outlineLvl w:val="2"/>
    </w:pPr>
    <w:rPr>
      <w:sz w:val="28"/>
      <w:szCs w:val="28"/>
    </w:rPr>
  </w:style>
  <w:style w:type="paragraph" w:styleId="1027">
    <w:name w:val="Heading 4"/>
    <w:basedOn w:val="1023"/>
    <w:next w:val="1023"/>
    <w:link w:val="1034"/>
    <w:qFormat/>
    <w:pPr>
      <w:keepNext w:val="true"/>
      <w:pBdr/>
      <w:spacing/>
      <w:ind/>
      <w:jc w:val="center"/>
      <w:outlineLvl w:val="3"/>
    </w:pPr>
    <w:rPr>
      <w:b/>
      <w:bCs/>
    </w:rPr>
  </w:style>
  <w:style w:type="character" w:styleId="1028" w:default="1">
    <w:name w:val="Default Paragraph Font"/>
    <w:uiPriority w:val="1"/>
    <w:semiHidden/>
    <w:unhideWhenUsed/>
    <w:pPr>
      <w:pBdr/>
      <w:spacing/>
      <w:ind/>
    </w:pPr>
  </w:style>
  <w:style w:type="table" w:styleId="102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0" w:default="1">
    <w:name w:val="No List"/>
    <w:uiPriority w:val="99"/>
    <w:semiHidden/>
    <w:unhideWhenUsed/>
    <w:pPr>
      <w:pBdr/>
      <w:spacing/>
      <w:ind/>
    </w:pPr>
  </w:style>
  <w:style w:type="character" w:styleId="1031" w:customStyle="1">
    <w:name w:val="Heading 1 Char"/>
    <w:basedOn w:val="1028"/>
    <w:link w:val="1024"/>
    <w:pPr>
      <w:pBdr/>
      <w:spacing/>
      <w:ind/>
    </w:pPr>
    <w:rPr>
      <w:rFonts w:ascii="Times New Roman" w:hAnsi="Times New Roman" w:eastAsia="Times New Roman" w:cs="Times New Roman"/>
      <w:b/>
      <w:bCs/>
      <w:sz w:val="27"/>
      <w:szCs w:val="27"/>
    </w:rPr>
  </w:style>
  <w:style w:type="character" w:styleId="1032" w:customStyle="1">
    <w:name w:val="Heading 2 Char"/>
    <w:basedOn w:val="1028"/>
    <w:link w:val="1025"/>
    <w:uiPriority w:val="9"/>
    <w:pPr>
      <w:pBdr/>
      <w:spacing/>
      <w:ind/>
    </w:pPr>
    <w:rPr>
      <w:rFonts w:asciiTheme="majorHAnsi" w:hAnsiTheme="majorHAnsi" w:eastAsiaTheme="majorEastAsia" w:cstheme="majorBidi"/>
      <w:color w:val="365f91" w:themeColor="accent1" w:themeShade="BF"/>
      <w:sz w:val="26"/>
      <w:szCs w:val="26"/>
    </w:rPr>
  </w:style>
  <w:style w:type="character" w:styleId="1033" w:customStyle="1">
    <w:name w:val="Heading 3 Char"/>
    <w:basedOn w:val="1028"/>
    <w:link w:val="1026"/>
    <w:pPr>
      <w:pBdr/>
      <w:spacing/>
      <w:ind/>
    </w:pPr>
    <w:rPr>
      <w:rFonts w:ascii="Times New Roman" w:hAnsi="Times New Roman" w:eastAsia="Times New Roman" w:cs="Times New Roman"/>
      <w:sz w:val="28"/>
      <w:szCs w:val="28"/>
    </w:rPr>
  </w:style>
  <w:style w:type="character" w:styleId="1034" w:customStyle="1">
    <w:name w:val="Heading 4 Char"/>
    <w:basedOn w:val="1028"/>
    <w:link w:val="1027"/>
    <w:pPr>
      <w:pBdr/>
      <w:spacing/>
      <w:ind/>
    </w:pPr>
    <w:rPr>
      <w:rFonts w:ascii="Times New Roman" w:hAnsi="Times New Roman" w:eastAsia="Times New Roman" w:cs="Times New Roman"/>
      <w:b/>
      <w:bCs/>
      <w:sz w:val="24"/>
      <w:szCs w:val="24"/>
    </w:rPr>
  </w:style>
  <w:style w:type="character" w:styleId="1035">
    <w:name w:val="Hyperlink"/>
    <w:uiPriority w:val="99"/>
    <w:pPr>
      <w:pBdr/>
      <w:spacing/>
      <w:ind/>
    </w:pPr>
    <w:rPr>
      <w:color w:val="000000"/>
      <w:u w:val="single"/>
    </w:rPr>
  </w:style>
  <w:style w:type="character" w:styleId="1036">
    <w:name w:val="Strong"/>
    <w:uiPriority w:val="22"/>
    <w:qFormat/>
    <w:pPr>
      <w:pBdr/>
      <w:spacing/>
      <w:ind/>
    </w:pPr>
    <w:rPr>
      <w:b/>
      <w:bCs/>
    </w:rPr>
  </w:style>
  <w:style w:type="paragraph" w:styleId="1037">
    <w:name w:val="Balloon Text"/>
    <w:basedOn w:val="1023"/>
    <w:link w:val="1038"/>
    <w:uiPriority w:val="99"/>
    <w:semiHidden/>
    <w:unhideWhenUsed/>
    <w:pPr>
      <w:pBdr/>
      <w:spacing/>
      <w:ind/>
    </w:pPr>
    <w:rPr>
      <w:rFonts w:ascii="Tahoma" w:hAnsi="Tahoma" w:cs="Tahoma"/>
      <w:sz w:val="16"/>
      <w:szCs w:val="16"/>
    </w:rPr>
  </w:style>
  <w:style w:type="character" w:styleId="1038" w:customStyle="1">
    <w:name w:val="Balloon Text Char"/>
    <w:basedOn w:val="1028"/>
    <w:link w:val="1037"/>
    <w:uiPriority w:val="99"/>
    <w:semiHidden/>
    <w:pPr>
      <w:pBdr/>
      <w:spacing/>
      <w:ind/>
    </w:pPr>
    <w:rPr>
      <w:rFonts w:ascii="Tahoma" w:hAnsi="Tahoma" w:eastAsia="Times New Roman" w:cs="Tahoma"/>
      <w:sz w:val="16"/>
      <w:szCs w:val="16"/>
    </w:rPr>
  </w:style>
  <w:style w:type="paragraph" w:styleId="1039">
    <w:name w:val="Header"/>
    <w:basedOn w:val="1023"/>
    <w:link w:val="1040"/>
    <w:unhideWhenUsed/>
    <w:pPr>
      <w:pBdr/>
      <w:tabs>
        <w:tab w:val="center" w:leader="none" w:pos="4680"/>
        <w:tab w:val="right" w:leader="none" w:pos="9360"/>
      </w:tabs>
      <w:spacing/>
      <w:ind/>
    </w:pPr>
  </w:style>
  <w:style w:type="character" w:styleId="1040" w:customStyle="1">
    <w:name w:val="Header Char"/>
    <w:basedOn w:val="1028"/>
    <w:link w:val="1039"/>
    <w:pPr>
      <w:pBdr/>
      <w:spacing/>
      <w:ind/>
    </w:pPr>
    <w:rPr>
      <w:rFonts w:ascii="Times New Roman" w:hAnsi="Times New Roman" w:eastAsia="Times New Roman" w:cs="Times New Roman"/>
      <w:sz w:val="24"/>
      <w:szCs w:val="24"/>
    </w:rPr>
  </w:style>
  <w:style w:type="paragraph" w:styleId="1041">
    <w:name w:val="Footer"/>
    <w:basedOn w:val="1023"/>
    <w:link w:val="1042"/>
    <w:uiPriority w:val="99"/>
    <w:unhideWhenUsed/>
    <w:pPr>
      <w:pBdr/>
      <w:tabs>
        <w:tab w:val="center" w:leader="none" w:pos="4680"/>
        <w:tab w:val="right" w:leader="none" w:pos="9360"/>
      </w:tabs>
      <w:spacing/>
      <w:ind/>
    </w:pPr>
  </w:style>
  <w:style w:type="character" w:styleId="1042" w:customStyle="1">
    <w:name w:val="Footer Char"/>
    <w:basedOn w:val="1028"/>
    <w:link w:val="1041"/>
    <w:uiPriority w:val="99"/>
    <w:pPr>
      <w:pBdr/>
      <w:spacing/>
      <w:ind/>
    </w:pPr>
    <w:rPr>
      <w:rFonts w:ascii="Times New Roman" w:hAnsi="Times New Roman" w:eastAsia="Times New Roman" w:cs="Times New Roman"/>
      <w:sz w:val="24"/>
      <w:szCs w:val="24"/>
    </w:rPr>
  </w:style>
  <w:style w:type="character" w:styleId="1043" w:customStyle="1">
    <w:name w:val="normal-h1"/>
    <w:pPr>
      <w:pBdr/>
      <w:spacing/>
      <w:ind/>
    </w:pPr>
    <w:rPr>
      <w:rFonts w:hint="default" w:ascii=".VnTime" w:hAnsi=".VnTime"/>
      <w:color w:val="0000ff"/>
      <w:sz w:val="24"/>
      <w:szCs w:val="24"/>
    </w:rPr>
  </w:style>
  <w:style w:type="paragraph" w:styleId="1044" w:customStyle="1">
    <w:name w:val="normal-p"/>
    <w:basedOn w:val="1023"/>
    <w:pPr>
      <w:pBdr/>
      <w:spacing/>
      <w:ind/>
      <w:jc w:val="both"/>
    </w:pPr>
    <w:rPr>
      <w:sz w:val="20"/>
      <w:szCs w:val="20"/>
    </w:rPr>
  </w:style>
  <w:style w:type="paragraph" w:styleId="1045">
    <w:name w:val="List Paragraph"/>
    <w:basedOn w:val="1023"/>
    <w:link w:val="1132"/>
    <w:uiPriority w:val="34"/>
    <w:qFormat/>
    <w:pPr>
      <w:pBdr/>
      <w:spacing/>
      <w:ind w:left="720"/>
    </w:pPr>
  </w:style>
  <w:style w:type="paragraph" w:styleId="1046">
    <w:name w:val="Normal (Web)"/>
    <w:basedOn w:val="1023"/>
    <w:uiPriority w:val="99"/>
    <w:pPr>
      <w:pBdr/>
      <w:spacing w:after="100" w:afterAutospacing="1" w:before="100" w:beforeAutospacing="1"/>
      <w:ind/>
    </w:pPr>
  </w:style>
  <w:style w:type="paragraph" w:styleId="1047">
    <w:name w:val="Body Text"/>
    <w:basedOn w:val="1023"/>
    <w:link w:val="1048"/>
    <w:pPr>
      <w:pBdr/>
      <w:spacing w:after="120"/>
      <w:ind/>
      <w:jc w:val="both"/>
    </w:pPr>
  </w:style>
  <w:style w:type="character" w:styleId="1048" w:customStyle="1">
    <w:name w:val="Body Text Char"/>
    <w:basedOn w:val="1028"/>
    <w:link w:val="1047"/>
    <w:pPr>
      <w:pBdr/>
      <w:spacing/>
      <w:ind/>
    </w:pPr>
    <w:rPr>
      <w:rFonts w:ascii="Times New Roman" w:hAnsi="Times New Roman" w:eastAsia="Times New Roman" w:cs="Times New Roman"/>
      <w:sz w:val="24"/>
      <w:szCs w:val="24"/>
    </w:rPr>
  </w:style>
  <w:style w:type="table" w:styleId="1049">
    <w:name w:val="Table Grid"/>
    <w:basedOn w:val="102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5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51">
    <w:name w:val="annotation reference"/>
    <w:basedOn w:val="1028"/>
    <w:uiPriority w:val="99"/>
    <w:semiHidden/>
    <w:unhideWhenUsed/>
    <w:pPr>
      <w:pBdr/>
      <w:spacing/>
      <w:ind/>
    </w:pPr>
    <w:rPr>
      <w:sz w:val="16"/>
      <w:szCs w:val="16"/>
    </w:rPr>
  </w:style>
  <w:style w:type="paragraph" w:styleId="1052">
    <w:name w:val="annotation text"/>
    <w:basedOn w:val="1023"/>
    <w:link w:val="1053"/>
    <w:uiPriority w:val="99"/>
    <w:unhideWhenUsed/>
    <w:pPr>
      <w:pBdr/>
      <w:spacing/>
      <w:ind/>
    </w:pPr>
    <w:rPr>
      <w:sz w:val="20"/>
      <w:szCs w:val="20"/>
    </w:rPr>
  </w:style>
  <w:style w:type="character" w:styleId="1053" w:customStyle="1">
    <w:name w:val="Comment Text Char"/>
    <w:basedOn w:val="1028"/>
    <w:link w:val="1052"/>
    <w:uiPriority w:val="99"/>
    <w:pPr>
      <w:pBdr/>
      <w:spacing/>
      <w:ind/>
    </w:pPr>
    <w:rPr>
      <w:rFonts w:ascii="Times New Roman" w:hAnsi="Times New Roman" w:eastAsia="Times New Roman" w:cs="Times New Roman"/>
      <w:sz w:val="20"/>
      <w:szCs w:val="20"/>
    </w:rPr>
  </w:style>
  <w:style w:type="paragraph" w:styleId="1054">
    <w:name w:val="annotation subject"/>
    <w:basedOn w:val="1052"/>
    <w:next w:val="1052"/>
    <w:link w:val="1055"/>
    <w:uiPriority w:val="99"/>
    <w:semiHidden/>
    <w:unhideWhenUsed/>
    <w:pPr>
      <w:pBdr/>
      <w:spacing/>
      <w:ind/>
    </w:pPr>
    <w:rPr>
      <w:b/>
      <w:bCs/>
    </w:rPr>
  </w:style>
  <w:style w:type="character" w:styleId="1055" w:customStyle="1">
    <w:name w:val="Comment Subject Char"/>
    <w:basedOn w:val="1053"/>
    <w:link w:val="1054"/>
    <w:uiPriority w:val="99"/>
    <w:semiHidden/>
    <w:pPr>
      <w:pBdr/>
      <w:spacing/>
      <w:ind/>
    </w:pPr>
    <w:rPr>
      <w:rFonts w:ascii="Times New Roman" w:hAnsi="Times New Roman" w:eastAsia="Times New Roman" w:cs="Times New Roman"/>
      <w:b/>
      <w:bCs/>
      <w:sz w:val="20"/>
      <w:szCs w:val="20"/>
    </w:rPr>
  </w:style>
  <w:style w:type="paragraph" w:styleId="1056" w:customStyle="1">
    <w:name w:val="font5"/>
    <w:basedOn w:val="1023"/>
    <w:pPr>
      <w:pBdr/>
      <w:spacing w:after="100" w:afterAutospacing="1" w:before="100" w:beforeAutospacing="1"/>
      <w:ind/>
    </w:pPr>
    <w:rPr>
      <w:rFonts w:ascii="Tahoma" w:hAnsi="Tahoma" w:cs="Tahoma"/>
      <w:color w:val="000000"/>
      <w:sz w:val="18"/>
      <w:szCs w:val="18"/>
    </w:rPr>
  </w:style>
  <w:style w:type="paragraph" w:styleId="1057" w:customStyle="1">
    <w:name w:val="font6"/>
    <w:basedOn w:val="1023"/>
    <w:pPr>
      <w:pBdr/>
      <w:spacing w:after="100" w:afterAutospacing="1" w:before="100" w:beforeAutospacing="1"/>
      <w:ind/>
    </w:pPr>
    <w:rPr>
      <w:rFonts w:ascii="Tahoma" w:hAnsi="Tahoma" w:cs="Tahoma"/>
      <w:b/>
      <w:bCs/>
      <w:color w:val="000000"/>
      <w:sz w:val="18"/>
      <w:szCs w:val="18"/>
    </w:rPr>
  </w:style>
  <w:style w:type="paragraph" w:styleId="1058" w:customStyle="1">
    <w:name w:val="xl233"/>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9" w:customStyle="1">
    <w:name w:val="xl234"/>
    <w:basedOn w:val="1023"/>
    <w:pPr>
      <w:pBdr/>
      <w:spacing w:after="100" w:afterAutospacing="1" w:before="100" w:beforeAutospacing="1"/>
      <w:ind/>
      <w:jc w:val="center"/>
    </w:pPr>
  </w:style>
  <w:style w:type="paragraph" w:styleId="1060" w:customStyle="1">
    <w:name w:val="xl235"/>
    <w:basedOn w:val="1023"/>
    <w:pPr>
      <w:pBdr/>
      <w:spacing w:after="100" w:afterAutospacing="1" w:before="100" w:beforeAutospacing="1"/>
      <w:ind/>
      <w:jc w:val="center"/>
    </w:pPr>
    <w:rPr>
      <w:b/>
      <w:bCs/>
    </w:rPr>
  </w:style>
  <w:style w:type="paragraph" w:styleId="1061" w:customStyle="1">
    <w:name w:val="xl236"/>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2" w:customStyle="1">
    <w:name w:val="xl237"/>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3" w:customStyle="1">
    <w:name w:val="xl238"/>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4" w:customStyle="1">
    <w:name w:val="xl239"/>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5" w:customStyle="1">
    <w:name w:val="xl240"/>
    <w:basedOn w:val="1023"/>
    <w:pPr>
      <w:pBdr/>
      <w:spacing w:after="100" w:afterAutospacing="1" w:before="100" w:beforeAutospacing="1"/>
      <w:ind/>
    </w:pPr>
  </w:style>
  <w:style w:type="paragraph" w:styleId="1066" w:customStyle="1">
    <w:name w:val="xl241"/>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7" w:customStyle="1">
    <w:name w:val="xl242"/>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43"/>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44"/>
    <w:basedOn w:val="1023"/>
    <w:pPr>
      <w:pBdr/>
      <w:spacing w:after="100" w:afterAutospacing="1" w:before="100" w:beforeAutospacing="1"/>
      <w:ind/>
    </w:pPr>
    <w:rPr>
      <w:b/>
      <w:bCs/>
    </w:rPr>
  </w:style>
  <w:style w:type="paragraph" w:styleId="1070" w:customStyle="1">
    <w:name w:val="xl245"/>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46"/>
    <w:basedOn w:val="102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47"/>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3" w:customStyle="1">
    <w:name w:val="xl248"/>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49"/>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5" w:customStyle="1">
    <w:name w:val="xl250"/>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6" w:customStyle="1">
    <w:name w:val="xl251"/>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7" w:customStyle="1">
    <w:name w:val="xl252"/>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3"/>
    <w:basedOn w:val="102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9" w:customStyle="1">
    <w:name w:val="xl254"/>
    <w:basedOn w:val="102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55"/>
    <w:basedOn w:val="102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1" w:customStyle="1">
    <w:name w:val="xl256"/>
    <w:basedOn w:val="102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2" w:customStyle="1">
    <w:name w:val="xl257"/>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58"/>
    <w:basedOn w:val="102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4" w:customStyle="1">
    <w:name w:val="xl259"/>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5" w:customStyle="1">
    <w:name w:val="xl260"/>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6" w:customStyle="1">
    <w:name w:val="xl261"/>
    <w:basedOn w:val="102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7" w:customStyle="1">
    <w:name w:val="xl262"/>
    <w:basedOn w:val="102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8" w:customStyle="1">
    <w:name w:val="xl263"/>
    <w:basedOn w:val="1023"/>
    <w:pPr>
      <w:pBdr/>
      <w:shd w:val="clear" w:color="000000" w:fill="ffffff"/>
      <w:spacing w:after="100" w:afterAutospacing="1" w:before="100" w:beforeAutospacing="1"/>
      <w:ind/>
    </w:pPr>
  </w:style>
  <w:style w:type="paragraph" w:styleId="1089" w:customStyle="1">
    <w:name w:val="xl264"/>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0" w:customStyle="1">
    <w:name w:val="xl265"/>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1" w:customStyle="1">
    <w:name w:val="xl266"/>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2" w:customStyle="1">
    <w:name w:val="xl267"/>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3" w:customStyle="1">
    <w:name w:val="xl268"/>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4" w:customStyle="1">
    <w:name w:val="xl269"/>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5" w:customStyle="1">
    <w:name w:val="xl270"/>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71"/>
    <w:basedOn w:val="102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7" w:customStyle="1">
    <w:name w:val="xl272"/>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8" w:customStyle="1">
    <w:name w:val="xl273"/>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9" w:customStyle="1">
    <w:name w:val="xl274"/>
    <w:basedOn w:val="102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100" w:customStyle="1">
    <w:name w:val="xl275"/>
    <w:basedOn w:val="1023"/>
    <w:pPr>
      <w:pBdr/>
      <w:spacing w:after="100" w:afterAutospacing="1" w:before="100" w:beforeAutospacing="1"/>
      <w:ind/>
    </w:pPr>
  </w:style>
  <w:style w:type="paragraph" w:styleId="1101" w:customStyle="1">
    <w:name w:val="xl276"/>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2" w:customStyle="1">
    <w:name w:val="xl277"/>
    <w:basedOn w:val="102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3" w:customStyle="1">
    <w:name w:val="xl278"/>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4" w:customStyle="1">
    <w:name w:val="xl279"/>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5" w:customStyle="1">
    <w:name w:val="xl280"/>
    <w:basedOn w:val="102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6" w:customStyle="1">
    <w:name w:val="xl281"/>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7" w:customStyle="1">
    <w:name w:val="xl282"/>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8" w:customStyle="1">
    <w:name w:val="xl283"/>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84"/>
    <w:basedOn w:val="1023"/>
    <w:pPr>
      <w:pBdr>
        <w:left w:val="single" w:color="000000" w:sz="4" w:space="0"/>
        <w:bottom w:val="single" w:color="000000" w:sz="4" w:space="0"/>
        <w:right w:val="single" w:color="000000" w:sz="4" w:space="0"/>
      </w:pBdr>
      <w:spacing w:after="100" w:afterAutospacing="1" w:before="100" w:beforeAutospacing="1"/>
      <w:ind/>
    </w:pPr>
  </w:style>
  <w:style w:type="paragraph" w:styleId="1110" w:customStyle="1">
    <w:name w:val="xl285"/>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11" w:customStyle="1">
    <w:name w:val="xl286"/>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2" w:customStyle="1">
    <w:name w:val="xl287"/>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88"/>
    <w:basedOn w:val="1023"/>
    <w:pPr>
      <w:pBdr>
        <w:top w:val="single" w:color="000000" w:sz="4" w:space="0"/>
        <w:left w:val="single" w:color="000000" w:sz="4" w:space="0"/>
        <w:right w:val="single" w:color="000000" w:sz="4" w:space="0"/>
      </w:pBdr>
      <w:spacing w:after="100" w:afterAutospacing="1" w:before="100" w:beforeAutospacing="1"/>
      <w:ind/>
    </w:pPr>
  </w:style>
  <w:style w:type="paragraph" w:styleId="1114" w:customStyle="1">
    <w:name w:val="xl289"/>
    <w:basedOn w:val="1023"/>
    <w:pPr>
      <w:pBdr>
        <w:left w:val="single" w:color="000000" w:sz="4" w:space="0"/>
        <w:right w:val="single" w:color="000000" w:sz="4" w:space="0"/>
      </w:pBdr>
      <w:spacing w:after="100" w:afterAutospacing="1" w:before="100" w:beforeAutospacing="1"/>
      <w:ind/>
    </w:pPr>
    <w:rPr>
      <w:b/>
      <w:bCs/>
    </w:rPr>
  </w:style>
  <w:style w:type="paragraph" w:styleId="1115" w:customStyle="1">
    <w:name w:val="xl290"/>
    <w:basedOn w:val="102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6" w:customStyle="1">
    <w:name w:val="xl291"/>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7" w:customStyle="1">
    <w:name w:val="xl292"/>
    <w:basedOn w:val="1023"/>
    <w:pPr>
      <w:pBdr>
        <w:top w:val="single" w:color="000000" w:sz="4" w:space="0"/>
        <w:left w:val="single" w:color="000000" w:sz="4" w:space="0"/>
        <w:right w:val="single" w:color="000000" w:sz="4" w:space="0"/>
      </w:pBdr>
      <w:spacing w:after="100" w:afterAutospacing="1" w:before="100" w:beforeAutospacing="1"/>
      <w:ind/>
    </w:pPr>
  </w:style>
  <w:style w:type="paragraph" w:styleId="1118" w:customStyle="1">
    <w:name w:val="xl293"/>
    <w:basedOn w:val="1023"/>
    <w:pPr>
      <w:pBdr>
        <w:left w:val="single" w:color="000000" w:sz="4" w:space="0"/>
        <w:bottom w:val="single" w:color="000000" w:sz="4" w:space="0"/>
        <w:right w:val="single" w:color="000000" w:sz="4" w:space="0"/>
      </w:pBdr>
      <w:spacing w:after="100" w:afterAutospacing="1" w:before="100" w:beforeAutospacing="1"/>
      <w:ind/>
    </w:pPr>
  </w:style>
  <w:style w:type="paragraph" w:styleId="1119" w:customStyle="1">
    <w:name w:val="xl294"/>
    <w:basedOn w:val="102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20">
    <w:name w:val="Title"/>
    <w:basedOn w:val="1023"/>
    <w:link w:val="1121"/>
    <w:qFormat/>
    <w:pPr>
      <w:pBdr/>
      <w:spacing/>
      <w:ind/>
      <w:jc w:val="center"/>
    </w:pPr>
    <w:rPr>
      <w:b/>
      <w:bCs/>
      <w:sz w:val="32"/>
      <w:szCs w:val="26"/>
    </w:rPr>
  </w:style>
  <w:style w:type="character" w:styleId="1121" w:customStyle="1">
    <w:name w:val="Title Char"/>
    <w:basedOn w:val="1028"/>
    <w:link w:val="1120"/>
    <w:pPr>
      <w:pBdr/>
      <w:spacing/>
      <w:ind/>
    </w:pPr>
    <w:rPr>
      <w:rFonts w:ascii="Times New Roman" w:hAnsi="Times New Roman" w:eastAsia="Times New Roman" w:cs="Times New Roman"/>
      <w:b/>
      <w:bCs/>
      <w:sz w:val="32"/>
      <w:szCs w:val="26"/>
    </w:rPr>
  </w:style>
  <w:style w:type="character" w:styleId="1122" w:customStyle="1">
    <w:name w:val="Unresolved Mention1"/>
    <w:basedOn w:val="1028"/>
    <w:uiPriority w:val="99"/>
    <w:semiHidden/>
    <w:unhideWhenUsed/>
    <w:pPr>
      <w:pBdr/>
      <w:spacing/>
      <w:ind/>
    </w:pPr>
    <w:rPr>
      <w:color w:val="605e5c"/>
      <w:shd w:val="clear" w:color="auto" w:fill="e1dfdd"/>
    </w:rPr>
  </w:style>
  <w:style w:type="character" w:styleId="1123" w:customStyle="1">
    <w:name w:val="Body text (3)_"/>
    <w:link w:val="1124"/>
    <w:pPr>
      <w:pBdr/>
      <w:spacing/>
      <w:ind/>
    </w:pPr>
    <w:rPr>
      <w:rFonts w:ascii="Times New Roman" w:hAnsi="Times New Roman" w:cs="Times New Roman"/>
      <w:i/>
      <w:iCs/>
      <w:spacing w:val="4"/>
      <w:shd w:val="clear" w:color="auto" w:fill="ffffff"/>
    </w:rPr>
  </w:style>
  <w:style w:type="paragraph" w:styleId="1124" w:customStyle="1">
    <w:name w:val="Body text (3)1"/>
    <w:basedOn w:val="1023"/>
    <w:link w:val="112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5" w:customStyle="1">
    <w:name w:val="t-j"/>
    <w:basedOn w:val="1023"/>
    <w:pPr>
      <w:pBdr/>
      <w:spacing w:after="100" w:afterAutospacing="1" w:before="100" w:beforeAutospacing="1"/>
      <w:ind/>
    </w:pPr>
  </w:style>
  <w:style w:type="character" w:styleId="1126" w:customStyle="1">
    <w:name w:val="Unresolved Mention2"/>
    <w:basedOn w:val="1028"/>
    <w:uiPriority w:val="99"/>
    <w:semiHidden/>
    <w:unhideWhenUsed/>
    <w:pPr>
      <w:pBdr/>
      <w:spacing/>
      <w:ind/>
    </w:pPr>
    <w:rPr>
      <w:color w:val="605e5c"/>
      <w:shd w:val="clear" w:color="auto" w:fill="e1dfdd"/>
    </w:rPr>
  </w:style>
  <w:style w:type="character" w:styleId="1127">
    <w:name w:val="FollowedHyperlink"/>
    <w:basedOn w:val="1028"/>
    <w:uiPriority w:val="99"/>
    <w:semiHidden/>
    <w:unhideWhenUsed/>
    <w:pPr>
      <w:pBdr/>
      <w:spacing/>
      <w:ind/>
    </w:pPr>
    <w:rPr>
      <w:color w:val="800080" w:themeColor="followedHyperlink"/>
      <w:u w:val="single"/>
    </w:rPr>
  </w:style>
  <w:style w:type="character" w:styleId="1128" w:customStyle="1">
    <w:name w:val="text"/>
    <w:basedOn w:val="1028"/>
    <w:pPr>
      <w:pBdr/>
      <w:spacing/>
      <w:ind/>
    </w:pPr>
  </w:style>
  <w:style w:type="character" w:styleId="1129" w:customStyle="1">
    <w:name w:val="card-send-time__sendtime"/>
    <w:basedOn w:val="1028"/>
    <w:pPr>
      <w:pBdr/>
      <w:spacing/>
      <w:ind/>
    </w:pPr>
  </w:style>
  <w:style w:type="character" w:styleId="1130" w:customStyle="1">
    <w:name w:val="Đề cập Chưa giải quyết1"/>
    <w:basedOn w:val="1028"/>
    <w:uiPriority w:val="99"/>
    <w:semiHidden/>
    <w:unhideWhenUsed/>
    <w:pPr>
      <w:pBdr/>
      <w:spacing/>
      <w:ind/>
    </w:pPr>
    <w:rPr>
      <w:color w:val="605e5c"/>
      <w:shd w:val="clear" w:color="auto" w:fill="e1dfdd"/>
    </w:rPr>
  </w:style>
  <w:style w:type="paragraph" w:styleId="1131" w:customStyle="1">
    <w:name w:val="nqtitle"/>
    <w:basedOn w:val="1023"/>
    <w:pPr>
      <w:pBdr/>
      <w:spacing w:after="100" w:afterAutospacing="1" w:before="100" w:beforeAutospacing="1"/>
      <w:ind/>
    </w:pPr>
    <w:rPr>
      <w:lang w:val="vi-VN" w:eastAsia="vi-VN"/>
    </w:rPr>
  </w:style>
  <w:style w:type="character" w:styleId="1132" w:customStyle="1">
    <w:name w:val="List Paragraph Char"/>
    <w:link w:val="1045"/>
    <w:uiPriority w:val="34"/>
    <w:qFormat/>
    <w:pPr>
      <w:pBdr/>
      <w:spacing/>
      <w:ind/>
    </w:pPr>
    <w:rPr>
      <w:rFonts w:ascii="Times New Roman" w:hAnsi="Times New Roman" w:eastAsia="Times New Roman" w:cs="Times New Roman"/>
      <w:sz w:val="24"/>
      <w:szCs w:val="24"/>
    </w:rPr>
  </w:style>
  <w:style w:type="character" w:styleId="1133" w:customStyle="1">
    <w:name w:val="Đề cập Chưa giải quyết2"/>
    <w:basedOn w:val="1028"/>
    <w:uiPriority w:val="99"/>
    <w:semiHidden/>
    <w:unhideWhenUsed/>
    <w:pPr>
      <w:pBdr/>
      <w:spacing/>
      <w:ind/>
    </w:pPr>
    <w:rPr>
      <w:color w:val="605e5c"/>
      <w:shd w:val="clear" w:color="auto" w:fill="e1dfdd"/>
    </w:rPr>
  </w:style>
  <w:style w:type="character" w:styleId="1134" w:customStyle="1">
    <w:name w:val="Unresolved Mention3"/>
    <w:basedOn w:val="1028"/>
    <w:uiPriority w:val="99"/>
    <w:semiHidden/>
    <w:unhideWhenUsed/>
    <w:pPr>
      <w:pBdr/>
      <w:spacing/>
      <w:ind/>
    </w:pPr>
    <w:rPr>
      <w:color w:val="605e5c"/>
      <w:shd w:val="clear" w:color="auto" w:fill="e1dfdd"/>
    </w:rPr>
  </w:style>
  <w:style w:type="character" w:styleId="1135" w:customStyle="1">
    <w:name w:val="copy"/>
    <w:basedOn w:val="1028"/>
    <w:pPr>
      <w:pBdr/>
      <w:spacing/>
      <w:ind/>
    </w:pPr>
  </w:style>
  <w:style w:type="paragraph" w:styleId="1136" w:customStyle="1">
    <w:name w:val="align-justify"/>
    <w:basedOn w:val="1023"/>
    <w:pPr>
      <w:pBdr/>
      <w:spacing w:after="100" w:afterAutospacing="1" w:before="100" w:beforeAutospacing="1"/>
      <w:ind/>
    </w:pPr>
  </w:style>
  <w:style w:type="character" w:styleId="1137" w:customStyle="1">
    <w:name w:val="btn"/>
    <w:basedOn w:val="1028"/>
    <w:pPr>
      <w:pBdr/>
      <w:spacing/>
      <w:ind/>
    </w:pPr>
  </w:style>
  <w:style w:type="character" w:styleId="1138" w:customStyle="1">
    <w:name w:val="hide_mobile"/>
    <w:basedOn w:val="1028"/>
    <w:pPr>
      <w:pBdr/>
      <w:spacing/>
      <w:ind/>
    </w:pPr>
  </w:style>
  <w:style w:type="character" w:styleId="1139">
    <w:name w:val="Emphasis"/>
    <w:basedOn w:val="1028"/>
    <w:uiPriority w:val="20"/>
    <w:qFormat/>
    <w:pPr>
      <w:pBdr/>
      <w:spacing/>
      <w:ind/>
    </w:pPr>
    <w:rPr>
      <w:i/>
      <w:iCs/>
    </w:rPr>
  </w:style>
  <w:style w:type="character" w:styleId="1140" w:customStyle="1">
    <w:name w:val="t1"/>
    <w:basedOn w:val="1028"/>
    <w:pPr>
      <w:pBdr/>
      <w:spacing/>
      <w:ind/>
    </w:pPr>
  </w:style>
  <w:style w:type="character" w:styleId="1141" w:customStyle="1">
    <w:name w:val="Unresolved Mention4"/>
    <w:basedOn w:val="1028"/>
    <w:uiPriority w:val="99"/>
    <w:semiHidden/>
    <w:unhideWhenUsed/>
    <w:pPr>
      <w:pBdr/>
      <w:spacing/>
      <w:ind/>
    </w:pPr>
    <w:rPr>
      <w:color w:val="605e5c"/>
      <w:shd w:val="clear" w:color="auto" w:fill="e1dfdd"/>
    </w:rPr>
  </w:style>
  <w:style w:type="character" w:styleId="1142" w:customStyle="1">
    <w:name w:val="Unresolved Mention5"/>
    <w:basedOn w:val="102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pn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png"/><Relationship Id="rId42" Type="http://schemas.openxmlformats.org/officeDocument/2006/relationships/image" Target="media/image28.png"/><Relationship Id="rId43" Type="http://schemas.openxmlformats.org/officeDocument/2006/relationships/image" Target="media/image29.png"/><Relationship Id="rId44" Type="http://schemas.openxmlformats.org/officeDocument/2006/relationships/image" Target="media/image30.png"/><Relationship Id="rId45" Type="http://schemas.openxmlformats.org/officeDocument/2006/relationships/image" Target="media/image31.png"/><Relationship Id="rId46" Type="http://schemas.openxmlformats.org/officeDocument/2006/relationships/image" Target="media/image32.png"/><Relationship Id="rId47" Type="http://schemas.openxmlformats.org/officeDocument/2006/relationships/image" Target="media/image33.png"/><Relationship Id="rId48" Type="http://schemas.openxmlformats.org/officeDocument/2006/relationships/image" Target="media/image34.png"/><Relationship Id="rId49" Type="http://schemas.openxmlformats.org/officeDocument/2006/relationships/image" Target="media/image35.png"/><Relationship Id="rId50" Type="http://schemas.openxmlformats.org/officeDocument/2006/relationships/image" Target="media/image36.png"/><Relationship Id="rId51" Type="http://schemas.openxmlformats.org/officeDocument/2006/relationships/image" Target="media/image37.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Nguyễn Thị Thùy</cp:lastModifiedBy>
  <cp:revision>822</cp:revision>
  <dcterms:created xsi:type="dcterms:W3CDTF">2025-05-28T23:19:00Z</dcterms:created>
  <dcterms:modified xsi:type="dcterms:W3CDTF">2026-09-15T03:48:54Z</dcterms:modified>
</cp:coreProperties>
</file>