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541274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41274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275/2026/1106/VFI-CT.48.A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THUỲ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244,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245,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26.2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275/2026/1106/VFI-CT.48.A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THUỲ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244,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245,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25-33</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063" w:type="dxa"/>
        <w:tblBorders/>
        <w:tblLayout w:type="fixed"/>
        <w:tblLook w:val="04A0" w:firstRow="1" w:lastRow="0" w:firstColumn="1" w:lastColumn="0" w:noHBand="0" w:noVBand="1"/>
      </w:tblPr>
      <w:tblGrid>
        <w:gridCol w:w="1696"/>
        <w:gridCol w:w="3336"/>
        <w:gridCol w:w="5026"/>
        <w:gridCol w:w="5"/>
      </w:tblGrid>
      <w:tr>
        <w:trPr>
          <w:gridAfter w:val="1"/>
          <w:trHeight w:val="1152"/>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275/2026/1106/VFI-CT.48.A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THUỲ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275/2026/1106/VFI-HĐTĐ.48.A</w:t>
      </w:r>
      <w:r>
        <w:rPr>
          <w:color w:val="000000" w:themeColor="text1"/>
          <w:spacing w:val="-4"/>
        </w:rPr>
        <w:t xml:space="preserve"> </w:t>
      </w:r>
      <w:r>
        <w:rPr>
          <w:spacing w:val="-4"/>
          <w:lang w:val="vi-VN"/>
        </w:rPr>
        <w:t xml:space="preserve">ký ngày </w:t>
      </w:r>
      <w:r>
        <w:rPr>
          <w:color w:val="000000" w:themeColor="text1"/>
          <w:spacing w:val="-4"/>
        </w:rPr>
        <w:t xml:space="preserve">21 tháng 7 năm 2026</w:t>
      </w:r>
      <w:r>
        <w:rPr>
          <w:spacing w:val="-4"/>
          <w:lang w:val="vi-VN"/>
        </w:rPr>
        <w:t xml:space="preserve"> </w:t>
      </w:r>
      <w:r>
        <w:rPr>
          <w:spacing w:val="-4"/>
          <w:lang w:val="vi-VN"/>
        </w:rPr>
        <w:t xml:space="preserve">giữa </w:t>
      </w:r>
      <w:r>
        <w:rPr>
          <w:color w:val="000000" w:themeColor="text1"/>
          <w:spacing w:val="-4"/>
        </w:rPr>
        <w:t xml:space="preserve">Bà Nguyễn Thị Thuỳ Linh</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275/2026/1106/VFI-BC.48.A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BÀ NGUYỄN THỊ THUỲ LINH</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024192016657</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1992</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Liễu Nham, xã Tân Liễu, huyện Yên Dũng, tỉnh Bắc Giang (nay phường Yên Dũng, tỉnh Bắc Ninh)</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244,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p>
    <w:p>
      <w:pPr>
        <w:pBdr/>
        <w:spacing w:after="120" w:before="120" w:line="276" w:lineRule="auto"/>
        <w:ind/>
        <w:jc w:val="both"/>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245,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color w:val="000000" w:themeColor="text1"/>
        </w:rPr>
      </w: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highlight w:val="none"/>
          <w:lang w:val="vi-VN"/>
        </w:rPr>
      </w:r>
    </w:p>
    <w:p>
      <w:pPr>
        <w:pBdr/>
        <w:shd w:val="nil" w:color="auto"/>
        <w:spacing/>
        <w:ind/>
        <w:rPr>
          <w:lang w:val="vi-VN"/>
        </w:rPr>
      </w:pPr>
      <w:r>
        <w:rPr>
          <w:lang w:val="vi-VN"/>
        </w:rPr>
        <w:br w:type="page" w:clear="all"/>
      </w:r>
      <w:r>
        <w:rPr>
          <w:lang w:val="vi-VN"/>
        </w:rPr>
      </w:r>
      <w:r>
        <w:rPr>
          <w:lang w:val="vi-VN"/>
        </w:rPr>
      </w:r>
    </w:p>
    <w:p>
      <w:pPr>
        <w:pBdr/>
        <w:spacing w:after="120" w:before="120" w:line="278" w:lineRule="auto"/>
        <w:ind/>
        <w:jc w:val="both"/>
        <w:rPr>
          <w:lang w:val="vi-VN"/>
        </w:rPr>
      </w:pPr>
      <w:r>
        <w:rPr>
          <w:highlight w:val="none"/>
          <w:lang w:val="vi-VN" w:bidi="vi-VN"/>
        </w:rPr>
      </w:r>
      <w:r>
        <w:rPr>
          <w:highlight w:val="none"/>
          <w:lang w:val="vi-VN"/>
        </w:rPr>
      </w:r>
      <w:r>
        <w:rPr>
          <w:lang w:val="vi-VN"/>
        </w:rPr>
      </w:r>
    </w:p>
    <w:tbl>
      <w:tblPr>
        <w:tblStyle w:val="103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3301"/>
        <w:gridCol w:w="38352"/>
        <w:gridCol w:w="30071"/>
        <w:gridCol w:w="33720"/>
        <w:gridCol w:w="3274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3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83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00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37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27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3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 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021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244,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7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3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83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rPr/>
            </w:pPr>
            <w:r>
              <w:rPr>
                <w:rFonts w:ascii="Times New Roman" w:hAnsi="Times New Roman" w:eastAsia="Times New Roman" w:cs="Times New Roman"/>
                <w:b/>
                <w:color w:val="000000"/>
                <w:sz w:val="24"/>
              </w:rPr>
              <w:t xml:space="preserve">Đất ở tại nông thôn + Đất trồng cây lâu năm</w:t>
            </w:r>
            <w:r/>
          </w:p>
        </w:tc>
        <w:tc>
          <w:tcPr>
            <w:tcBorders>
              <w:bottom w:val="single" w:color="000000" w:sz="8" w:space="0"/>
              <w:right w:val="single" w:color="000000" w:sz="8" w:space="0"/>
            </w:tcBorders>
            <w:tcMar>
              <w:left w:w="108" w:type="dxa"/>
              <w:top w:w="0" w:type="dxa"/>
              <w:right w:w="108" w:type="dxa"/>
              <w:bottom w:w="0" w:type="dxa"/>
            </w:tcMar>
            <w:tcW w:w="30071"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line="360" w:lineRule="auto"/>
              <w:ind w:right="0" w:firstLine="0" w:left="0"/>
              <w:jc w:val="center"/>
              <w:rPr/>
            </w:pPr>
            <w:r>
              <w:rPr>
                <w:rFonts w:ascii="Times New Roman" w:hAnsi="Times New Roman" w:eastAsia="Times New Roman" w:cs="Times New Roman"/>
                <w:color w:val="000000"/>
                <w:sz w:val="24"/>
              </w:rPr>
              <w:t xml:space="preserve">477,5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7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color w:val="000000"/>
                <w:sz w:val="24"/>
              </w:rPr>
              <w:t xml:space="preserve">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7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color w:val="000000"/>
                <w:sz w:val="24"/>
              </w:rPr>
              <w:t xml:space="preserve">3.581.250.000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3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021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245,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7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3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83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rPr/>
            </w:pPr>
            <w:r>
              <w:rPr>
                <w:rFonts w:ascii="Times New Roman" w:hAnsi="Times New Roman" w:eastAsia="Times New Roman" w:cs="Times New Roman"/>
                <w:b/>
                <w:color w:val="000000"/>
                <w:sz w:val="24"/>
              </w:rPr>
              <w:t xml:space="preserve">Đất ở tại nông thôn + Đất trồng cây lâu năm</w:t>
            </w:r>
            <w:r/>
          </w:p>
        </w:tc>
        <w:tc>
          <w:tcPr>
            <w:tcBorders>
              <w:bottom w:val="single" w:color="000000" w:sz="8" w:space="0"/>
              <w:right w:val="single" w:color="000000" w:sz="8" w:space="0"/>
            </w:tcBorders>
            <w:tcMar>
              <w:left w:w="108" w:type="dxa"/>
              <w:top w:w="0" w:type="dxa"/>
              <w:right w:w="108" w:type="dxa"/>
              <w:bottom w:w="0" w:type="dxa"/>
            </w:tcMar>
            <w:tcW w:w="30071"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line="360" w:lineRule="auto"/>
              <w:ind w:right="0" w:firstLine="0" w:left="0"/>
              <w:jc w:val="center"/>
              <w:rPr/>
            </w:pPr>
            <w:r>
              <w:rPr>
                <w:rFonts w:ascii="Times New Roman" w:hAnsi="Times New Roman" w:eastAsia="Times New Roman" w:cs="Times New Roman"/>
                <w:color w:val="000000"/>
                <w:sz w:val="24"/>
              </w:rPr>
              <w:t xml:space="preserve">352,8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7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color w:val="000000"/>
                <w:sz w:val="24"/>
              </w:rPr>
              <w:t xml:space="preserve">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7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line="360" w:lineRule="auto"/>
              <w:ind w:right="0" w:firstLine="0" w:left="0"/>
              <w:jc w:val="center"/>
              <w:rPr/>
            </w:pPr>
            <w:r>
              <w:rPr>
                <w:rFonts w:ascii="Times New Roman" w:hAnsi="Times New Roman" w:eastAsia="Times New Roman" w:cs="Times New Roman"/>
                <w:color w:val="000000"/>
                <w:sz w:val="24"/>
              </w:rPr>
              <w:t xml:space="preserve">2.646.000.000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5444"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27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line="360" w:lineRule="auto"/>
              <w:ind w:right="0" w:firstLine="0" w:left="0"/>
              <w:jc w:val="center"/>
              <w:rPr/>
            </w:pPr>
            <w:r>
              <w:rPr>
                <w:rFonts w:ascii="Times New Roman" w:hAnsi="Times New Roman" w:eastAsia="Times New Roman" w:cs="Times New Roman"/>
                <w:b/>
                <w:color w:val="000000"/>
                <w:sz w:val="24"/>
              </w:rPr>
              <w:t xml:space="preserve">6.227.250.000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5444"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line="360"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27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line="360" w:lineRule="auto"/>
              <w:ind w:right="0" w:firstLine="0" w:left="0"/>
              <w:jc w:val="center"/>
              <w:rPr/>
            </w:pPr>
            <w:r>
              <w:rPr>
                <w:rFonts w:ascii="Times New Roman" w:hAnsi="Times New Roman" w:eastAsia="Times New Roman" w:cs="Times New Roman"/>
                <w:b/>
                <w:color w:val="000000"/>
                <w:sz w:val="24"/>
              </w:rPr>
              <w:t xml:space="preserve">6.227.000.000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481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72" w:line="360" w:lineRule="auto"/>
              <w:ind w:right="0" w:firstLine="0" w:left="0"/>
              <w:jc w:val="center"/>
              <w:rPr/>
            </w:pPr>
            <w:r>
              <w:rPr>
                <w:rFonts w:ascii="Times New Roman" w:hAnsi="Times New Roman" w:eastAsia="Times New Roman" w:cs="Times New Roman"/>
                <w:b/>
                <w:i/>
                <w:color w:val="000000"/>
                <w:sz w:val="24"/>
              </w:rPr>
              <w:t xml:space="preserve">(Bằng chữ: Sáu tỷ hai trăm hai mươi bảy triệu đồng./.)</w:t>
            </w:r>
            <w:r/>
          </w:p>
        </w:tc>
      </w:tr>
    </w:tbl>
    <w:p>
      <w:pPr>
        <w:pBdr/>
        <w:spacing w:after="120" w:before="120" w:line="288" w:lineRule="auto"/>
        <w:ind/>
        <w:jc w:val="both"/>
        <w:rPr>
          <w:b/>
          <w:bCs/>
          <w:highlight w:val="none"/>
          <w:lang w:val="vi-VN"/>
        </w:rPr>
      </w:pPr>
      <w:r>
        <w:rPr>
          <w:b/>
          <w:bCs/>
          <w:lang w:val="vi-VN"/>
        </w:rPr>
        <w:t xml:space="preserve">10. Thời hạn hiệu lực của kết quả thẩm định giá:</w:t>
      </w:r>
      <w:r>
        <w:rPr>
          <w:b/>
          <w:bCs/>
        </w:rPr>
      </w:r>
      <w:r>
        <w:rPr>
          <w:b/>
          <w:bCs/>
          <w:highlight w:val="none"/>
          <w:lang w:val="vi-VN"/>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hd w:val="nil" w:color="auto"/>
        <w:spacing/>
        <w:ind/>
        <w:rPr>
          <w:rFonts w:eastAsia="Calibri"/>
          <w:b/>
          <w:bCs/>
          <w:spacing w:val="-4"/>
        </w:rPr>
      </w:pPr>
      <w:r>
        <w:rPr>
          <w:rFonts w:eastAsia="Calibri"/>
          <w:b/>
          <w:spacing w:val="-4"/>
          <w:highlight w:val="none"/>
          <w:lang w:val="vi-VN"/>
        </w:rPr>
        <w:br w:type="page" w:clear="all"/>
      </w:r>
      <w:r>
        <w:rPr>
          <w:rFonts w:eastAsia="Calibri"/>
          <w:b/>
          <w:spacing w:val="-4"/>
          <w:highlight w:val="none"/>
          <w:lang w:val="vi-VN"/>
        </w:rPr>
      </w:r>
      <w:r>
        <w:rPr>
          <w:rFonts w:eastAsia="Calibri"/>
          <w:b/>
          <w:bCs/>
          <w:spacing w:val="-4"/>
        </w:rPr>
      </w:r>
    </w:p>
    <w:p>
      <w:pPr>
        <w:pBdr/>
        <w:spacing w:after="200" w:line="276"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Lê Thị Thịnh</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VIII13.990</w:t>
            </w:r>
            <w:r>
              <w:rPr>
                <w:rFonts w:eastAsia="Calibri"/>
                <w:b/>
                <w:lang w:val="pt-BR"/>
              </w:rPr>
            </w:r>
            <w:r>
              <w:rPr>
                <w:rFonts w:eastAsia="Calibri"/>
                <w:b/>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9" w:type="dxa"/>
        <w:tblW w:w="10030" w:type="dxa"/>
        <w:tblBorders/>
        <w:tblLayout w:type="fixed"/>
        <w:tblLook w:val="04A0" w:firstRow="1" w:lastRow="0" w:firstColumn="1" w:lastColumn="0" w:noHBand="0" w:noVBand="1"/>
      </w:tblPr>
      <w:tblGrid>
        <w:gridCol w:w="1696"/>
        <w:gridCol w:w="3319"/>
        <w:gridCol w:w="5010"/>
        <w:gridCol w:w="5"/>
      </w:tblGrid>
      <w:tr>
        <w:trPr>
          <w:gridAfter w:val="1"/>
          <w:trHeight w:val="1094"/>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2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57"/>
        </w:trPr>
        <w:tc>
          <w:tcPr>
            <w:gridSpan w:val="2"/>
            <w:shd w:val="clear" w:color="auto" w:fill="auto"/>
            <w:tcBorders/>
            <w:tcMar>
              <w:left w:w="108" w:type="dxa"/>
              <w:top w:w="0" w:type="dxa"/>
              <w:right w:w="108" w:type="dxa"/>
              <w:bottom w:w="0" w:type="dxa"/>
            </w:tcMar>
            <w:tcW w:w="5015"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275/2026/1106/VFI-BC.48.A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15"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275/2026/1106/VFI-CT.48.A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4"/>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BÀ NGUYỄN THỊ THUỲ LINH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MST/CMTND/CCCD:</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024192016657</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Năm sinh:</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1992</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Địa chỉ</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Liễu Nham, xã Tân Liễu, huyện Yên Dũng, tỉnh Bắc Giang (nay phường Yên Dũng, tỉnh Bắc Ninh)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244,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245,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562"/>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t xml:space="preserve">Phường Yên Dũng, Tỉnh Bắc Ninh</w:t>
            </w:r>
            <w:r>
              <w:rPr>
                <w:lang w:val="pt-BR"/>
              </w:rPr>
              <w:t xml:space="preserve">.</w:t>
            </w:r>
            <w:r>
              <w:rPr>
                <w:lang w:val="pt-BR"/>
              </w:rPr>
            </w:r>
            <w:r>
              <w:rPr>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21/07/2026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CI 475119, số vào sổ cấp GCN: CS01003 do Sở Tài nguyên và Môi trường tỉnh Bắc Giang cấp ngày 15/8/2017; Chủ sử dụng đất là ông Lê Văn Ước và Bà Nguyễn Thị Hải</w:t>
      </w:r>
      <w:r/>
    </w:p>
    <w:p>
      <w:pPr>
        <w:pBdr/>
        <w:tabs>
          <w:tab w:val="left" w:leader="none" w:pos="993"/>
        </w:tabs>
        <w:spacing w:after="120" w:before="120" w:line="276" w:lineRule="auto"/>
        <w:ind/>
        <w:jc w:val="both"/>
        <w:rPr>
          <w:bCs/>
          <w:i/>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CI 475117, số vào sổ cấp GCN: CS01004 do Sở Tài nguyên và Môi trường tỉnh Bắc Giang cấp ngày 15/8/2017; Chủ sử dụng đất là ông Nguyễn Văn Kiền và Bà Nguyễn Thị Thuỳ </w:t>
      </w:r>
      <w:r>
        <w:rPr>
          <w:rFonts w:ascii="Times New Roman" w:hAnsi="Times New Roman" w:eastAsia="Times New Roman" w:cs="Times New Roman"/>
          <w:color w:val="000000"/>
          <w:sz w:val="24"/>
        </w:rPr>
        <w:t xml:space="preserve">Linh</w:t>
      </w:r>
      <w:r>
        <w:rPr>
          <w:i/>
          <w:iCs/>
          <w:lang w:val="pt-BR"/>
        </w:rPr>
      </w:r>
      <w:r>
        <w:rPr>
          <w:bCs/>
          <w:i/>
          <w:lang w:val="pt-BR"/>
        </w:rPr>
      </w:r>
    </w:p>
    <w:p>
      <w:pPr>
        <w:pBdr/>
        <w:spacing w:after="120" w:before="120" w:line="276" w:lineRule="auto"/>
        <w:ind/>
        <w:jc w:val="both"/>
        <w:rPr/>
      </w:pPr>
      <w:r>
        <w:rPr>
          <w:b/>
          <w:lang w:val="pt-BR"/>
        </w:rPr>
        <w:t xml:space="preserve">b. Hồ sơ khác</w:t>
      </w:r>
      <w:r>
        <w:rPr>
          <w:b/>
          <w:lang w:val="vi-VN"/>
        </w:rPr>
        <w:t xml:space="preserve">:</w:t>
      </w:r>
      <w:r/>
    </w:p>
    <w:p>
      <w:pPr>
        <w:pStyle w:val="103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275/2026/1106/VFI-HĐTĐ.48.A ngày 21/07/2026 giữa </w:t>
      </w:r>
      <w:r>
        <w:rPr>
          <w:rFonts w:ascii="Times New Roman" w:hAnsi="Times New Roman" w:eastAsia="Times New Roman" w:cs="Times New Roman"/>
          <w:color w:val="000000"/>
          <w:sz w:val="24"/>
        </w:rPr>
        <w:t xml:space="preserve">Bà Nguyễn Thị Thuỳ Linh</w:t>
      </w:r>
      <w:r>
        <w:rPr>
          <w:color w:val="000000" w:themeColor="text1"/>
          <w:lang w:val="pt-BR"/>
        </w:rPr>
        <w:t xml:space="preserve"> với Công ty Cổ phần Thẩm định và Đầu tư Tài chính Hoa Sen.</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lang w:val="pt-BR"/>
        </w:rPr>
      </w:r>
      <w:r>
        <w:rPr>
          <w:b/>
          <w:bCs/>
          <w:highlight w:val="none"/>
          <w:lang w:val="pt-BR"/>
        </w:rP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Sau giai đoạn tăng nóng của đất nền trong nửa đầu năm 2025, thị trường bất động sản Bắc Ninh đang bước sang chu kỳ điều chỉnh rõ nét. Dòng tiền đầu tư và nhu cầu ở thực có xu hướng dịch chuyển mạnh sang phân khúc căn hộ chung cư – loại hình được đánh giá p</w:t>
      </w:r>
      <w:r>
        <w:rPr>
          <w:rFonts w:ascii="Times New Roman" w:hAnsi="Times New Roman" w:eastAsia="Times New Roman" w:cs="Times New Roman"/>
          <w:color w:val="000000"/>
          <w:spacing w:val="-4"/>
          <w:sz w:val="24"/>
        </w:rPr>
        <w:t xml:space="preserve">hù hợp hơn với cấu trúc dân số, thu nhập và tốc độ đô thị hóa của địa phương trong giai đoạn mới.</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Động lực quan trọng đến từ nền tảng công nghiệp ngày càng mở rộng. Theo Ban Quản lý các Khu công nghiệp tỉnh Bắc Ninh, sau sáp nhập đơn vị hành chính, toàn tỉnh ghi nhận lũy kế 2.881 dự án đầu tư, trong đó có 2.062 dự án FDI với tổng vốn đăng ký hơn 50,3 t</w:t>
      </w:r>
      <w:r>
        <w:rPr>
          <w:rFonts w:ascii="Times New Roman" w:hAnsi="Times New Roman" w:eastAsia="Times New Roman" w:cs="Times New Roman"/>
          <w:color w:val="000000"/>
          <w:spacing w:val="-4"/>
          <w:sz w:val="24"/>
        </w:rPr>
        <w:t xml:space="preserve">ỷ USD. Sự hiện diện và mở rộng sản xuất của các tập đoàn lớn như Samsung, Amkor Technology, Lens Việt Nam hay Goertek đã kéo theo nhu cầu lao động tăng nhanh.</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Hiện Bắc Ninh có khoảng 568.000 lao động công nghiệp, trong đó 64% là lao động ngoại tỉnh, cùng hơn 26.000 chuyên gia nước ngoài. Dự báo năm 2026, địa phương cần tuyển thêm trên 130.000 lao động, riêng giai đoạn quanh Tết Bính Ngọ, khoảng 700 doanh nghiệp </w:t>
      </w:r>
      <w:r>
        <w:rPr>
          <w:rFonts w:ascii="Times New Roman" w:hAnsi="Times New Roman" w:eastAsia="Times New Roman" w:cs="Times New Roman"/>
          <w:color w:val="000000"/>
          <w:spacing w:val="-4"/>
          <w:sz w:val="24"/>
        </w:rPr>
        <w:t xml:space="preserve">có nhu cầu tuyển 45.000 vị trí. Trong khi đó, khả năng tự cung lao động của tỉnh chỉ đạt khoảng 30.000 – 40.000 người mỗi năm, khiến nhu cầu nhà ở tiếp tục gia tăng.</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Ở chiều ngược lại, mặt bằng giá đất nền đã bị đẩy lên mức cao sau các cơn sốt ngắn hạn, vượt xa khả năng chi trả của phần lớn người lao động. Với thu nhập bình quân khoảng 8,8 triệu đồng/tháng, phân khúc đất nền gần như nằm ngoài tầm với của người mua ở th</w:t>
      </w:r>
      <w:r>
        <w:rPr>
          <w:rFonts w:ascii="Times New Roman" w:hAnsi="Times New Roman" w:eastAsia="Times New Roman" w:cs="Times New Roman"/>
          <w:color w:val="000000"/>
          <w:spacing w:val="-4"/>
          <w:sz w:val="24"/>
        </w:rPr>
        <w:t xml:space="preserve">ực. Điều này khiến căn hộ cao tầng, đặc biệt là các dự án chung cư thương mại và nhà ở xã hội, trở thành lựa chọn ưu tiên nhờ mức giá dễ tiếp cận hơn và đáp ứng tốt nhu cầu sinh hoạt hiện đại.</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Ghi nhận từ các đơn vị môi giới cho thấy, nếu trước năm 2018, chung cư còn khá xa lạ do tâm lý chuộng đất nền, thì từ năm 2023 đến nay, các gia đình trẻ và giới chuyên gia tại khu công nghiệp đã chuyển hướng rõ rệt sang các tổ hợp chung cư có hạ tầng, tiện</w:t>
      </w:r>
      <w:r>
        <w:rPr>
          <w:rFonts w:ascii="Times New Roman" w:hAnsi="Times New Roman" w:eastAsia="Times New Roman" w:cs="Times New Roman"/>
          <w:color w:val="000000"/>
          <w:spacing w:val="-4"/>
          <w:sz w:val="24"/>
        </w:rPr>
        <w:t xml:space="preserve"> ích và an ninh đồng bộ.</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Diễn biến giá phản ánh khá rõ xu hướng này. Tại phường Võ Cường, giá căn hộ Green Pearl hiện dao động khoảng 58 – 80 triệu đồng/m2, tăng 27% so với quý IV/2024. Park View City trên đường Huyền Quang ghi nhận mức 66 – 82 triệu đồng/m2 trong quý IV/2025, tăn</w:t>
      </w:r>
      <w:r>
        <w:rPr>
          <w:rFonts w:ascii="Times New Roman" w:hAnsi="Times New Roman" w:eastAsia="Times New Roman" w:cs="Times New Roman"/>
          <w:color w:val="000000"/>
          <w:spacing w:val="-4"/>
          <w:sz w:val="24"/>
        </w:rPr>
        <w:t xml:space="preserve">g gần 30% sau một năm. Lotus Central trên đường Lý Thái Tổ thậm chí tăng hơn 50% so với cùng kỳ 2024, lên 65 – 83 triệu đồng/m2.</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Không chỉ khu vực trung tâm, các phường Bắc Giang và Tân Tiến cũng chứng kiến sức nóng của phân khúc chung cư. Giá phổ biến tại phường Bắc Giang hiện ở mức 40 – 74 triệu đồng/m2, tăng khoảng 45% trong một năm. Nhiều dự án mới mở bán trong năm 2025 nhanh ch</w:t>
      </w:r>
      <w:r>
        <w:rPr>
          <w:rFonts w:ascii="Times New Roman" w:hAnsi="Times New Roman" w:eastAsia="Times New Roman" w:cs="Times New Roman"/>
          <w:color w:val="000000"/>
          <w:spacing w:val="-4"/>
          <w:sz w:val="24"/>
        </w:rPr>
        <w:t xml:space="preserve">óng hết giỏ hàng chỉ sau 1 – 2 tuần, với mức giá sơ cấp tại các vị trí đẹp lên tới 75 – 80 triệu đồng/m2.</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Trái ngược với chung cư, thị trường đất nền Bắc Ninh đang chững lại sau khi lập đỉnh giữa năm 2025. Tại các phường trung tâm như Võ Cường, Kinh Bắc, Vũ Ninh, giá đất trong dân giảm khoảng 10% so với đỉnh, trong khi đất nền dự án chỉ tăng nhẹ. Tại Từ Sơn, g</w:t>
      </w:r>
      <w:r>
        <w:rPr>
          <w:rFonts w:ascii="Times New Roman" w:hAnsi="Times New Roman" w:eastAsia="Times New Roman" w:cs="Times New Roman"/>
          <w:color w:val="000000"/>
          <w:spacing w:val="-4"/>
          <w:sz w:val="24"/>
        </w:rPr>
        <w:t xml:space="preserve">iá đất thổ cư duy trì ổn định trong nửa cuối năm, thấp hơn khoảng 40% so với thời điểm sốt nóng đầu năm.</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Nhận định về xu hướng năm 2026, ông Lê Đình Chung – Tổng Giám đốc SGO Homes – cho rằng đất nền vẫn thu hút sự quan tâm, nhưng mức độ đã giảm so với giai đoạn trước. Trong bối cảnh thị trường điều chỉnh, các sản phẩm phục vụ nhu cầu ở thực, có công trình xâ</w:t>
      </w:r>
      <w:r>
        <w:rPr>
          <w:rFonts w:ascii="Times New Roman" w:hAnsi="Times New Roman" w:eastAsia="Times New Roman" w:cs="Times New Roman"/>
          <w:color w:val="000000"/>
          <w:spacing w:val="-4"/>
          <w:sz w:val="24"/>
        </w:rPr>
        <w:t xml:space="preserve">y dựng sẵn, thường sở hữu thanh khoản và tốc độ tăng giá bền vững hơn.</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Ở góc nhìn dài hạn, TS. Lê Xuân Nghĩa cho rằng đất nền vẫn là tài sản đại diện cho triển vọng kinh tế và quá trình đô thị hóa, song phù hợp hơn với nhà đầu tư có nguồn vốn nhàn rỗi và tầm nhìn dài hạn, thay vì tâm lý lướt sóng ngắn hạn.</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Theo TS. Nguyễn Văn Đính – Phó Chủ tịch Hiệp hội Bất động sản Việt Nam, đà tăng giá mạnh của chung cư Bắc Ninh xuất phát từ tình trạng lệch pha cung – cầu. Nguồn cung căn hộ hiện mới chỉ ở mức vài nghìn căn, chưa tương xứng với nhu cầu rất lớn từ lực lượng</w:t>
      </w:r>
      <w:r>
        <w:rPr>
          <w:rFonts w:ascii="Times New Roman" w:hAnsi="Times New Roman" w:eastAsia="Times New Roman" w:cs="Times New Roman"/>
          <w:color w:val="000000"/>
          <w:spacing w:val="-4"/>
          <w:sz w:val="24"/>
        </w:rPr>
        <w:t xml:space="preserve"> lao động và chuyên gia, trong khi nhà ở xã hội vẫn ở giai đoạn đầu triển khai.</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720" w:left="0"/>
        <w:jc w:val="both"/>
        <w:rPr/>
      </w:pPr>
      <w:r>
        <w:rPr>
          <w:rFonts w:ascii="Times New Roman" w:hAnsi="Times New Roman" w:eastAsia="Times New Roman" w:cs="Times New Roman"/>
          <w:color w:val="000000"/>
          <w:spacing w:val="-4"/>
          <w:sz w:val="24"/>
        </w:rPr>
        <w:t xml:space="preserve">Cùng quan điểm, ông Trần Quang Trung – Giám đốc Phát triển Kinh doanh OneHousing – nhận định Bắc Ninh là thị trường có độ nhạy cao, phát triển dựa trên nền tảng FDI lớn và tốc độ đô thị hóa nhanh. Sau chu kỳ bùng nổ đất nền giai đoạn 2023–2025, thị trường </w:t>
      </w:r>
      <w:r>
        <w:rPr>
          <w:rFonts w:ascii="Times New Roman" w:hAnsi="Times New Roman" w:eastAsia="Times New Roman" w:cs="Times New Roman"/>
          <w:color w:val="000000"/>
          <w:spacing w:val="-4"/>
          <w:sz w:val="24"/>
        </w:rPr>
        <w:t xml:space="preserve">đang cần thêm thời gian để dân cư hình thành tương xứng với mặt bằng giá. Trong bối cảnh đó, chung cư được đánh giá là phân khúc hưởng lợi rõ nét nhất nhờ nhu cầu ở thực lớn và nguồn cung còn hạn chế.</w:t>
      </w:r>
      <w:r/>
    </w:p>
    <w:p>
      <w:pPr>
        <w:pBdr/>
        <w:tabs>
          <w:tab w:val="left" w:leader="none" w:pos="993"/>
        </w:tabs>
        <w:spacing w:after="120" w:before="120" w:line="380" w:lineRule="atLeast"/>
        <w:ind/>
        <w:jc w:val="center"/>
        <w:rPr>
          <w:b/>
          <w:bCs/>
          <w:lang w:val="pt-BR"/>
        </w:rPr>
      </w:pPr>
      <w:r>
        <w:rPr>
          <w:rFonts w:ascii="Times New Roman" w:hAnsi="Times New Roman" w:eastAsia="Times New Roman" w:cs="Times New Roman"/>
          <w:i/>
          <w:color w:val="000000"/>
          <w:spacing w:val="-4"/>
          <w:sz w:val="24"/>
        </w:rPr>
        <w:t xml:space="preserve">(Nguồn:https://nhipsongnhadat.vn/bat-dong-san-bac-ninh-2026-chung-cu-vuon-len-dan-dat-thi-truong-dat-nen-ha-nhiet-sau-con-sot.html)</w:t>
      </w:r>
      <w:r>
        <w:rPr>
          <w:b/>
          <w:bCs/>
          <w:highlight w:val="none"/>
          <w:lang w:val="pt-BR"/>
        </w:rPr>
      </w:r>
      <w:r>
        <w:rPr>
          <w:b/>
          <w:bCs/>
          <w:lang w:val="pt-BR"/>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34"/>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Style w:val="103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244,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b/>
                <w:color w:val="000000"/>
                <w:sz w:val="24"/>
              </w:rPr>
              <w:t xml:space="preserve">t số: CI 475119, số vào sổ cấp GCN: CS01003 do Sở Tài nguyên và Môi trường tỉnh Bắc Giang cấp ngày 15/8/2017; Chủ sử dụng đất là ông Lê Văn Ước và Bà Nguyễn Thị Hải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Liễu Nham, xã Tân Liễu, huyện Yên Dũng, tỉnh Bắc Giang (nay phường Yên Dũng, tỉnh Bắc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477,5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Đất trồng cây lâu năm 277,5m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Lâu dài, Đất trồng cây lâu năm: đến 15/10/2043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tặng cho đất được công nhận quyền sử dụng đất như giao đất có thu tiền sử dụng đất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Nhận tặng cho đất được công nhận quyền sử dụng đất như giao đất không thu tiền sử dụng đất 277,5m</w:t>
            </w:r>
            <w:r>
              <w:rPr>
                <w:rFonts w:ascii="Times New Roman" w:hAnsi="Times New Roman" w:eastAsia="Times New Roman" w:cs="Times New Roman"/>
                <w:color w:val="000000"/>
                <w:sz w:val="20"/>
                <w:vertAlign w:val="superscript"/>
              </w:rPr>
              <w:t xml:space="preserve">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732"/>
              </w:tabs>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Tài sản cách trục chính thôn khoảng 300m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u w:val="none"/>
              </w:rPr>
              <w:t xml:space="preserve">Hướng Bắc: Tiếp giáp đường giao thông.</w:t>
              <w:br/>
              <w:t xml:space="preserve"> Các hướng khác: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(21.22322222222222, 106.24047222222)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4981575" cy="25431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23244" name=""/>
                              <pic:cNvPicPr>
                                <a:picLocks noChangeAspect="1"/>
                              </pic:cNvPicPr>
                              <pic:nvPr/>
                            </pic:nvPicPr>
                            <pic:blipFill rotWithShape="1">
                              <a:blip r:embed="rId17"/>
                              <a:stretch/>
                            </pic:blipFill>
                            <pic:spPr bwMode="auto">
                              <a:xfrm>
                                <a:off x="0" y="0"/>
                                <a:ext cx="4981574"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5pt;height:200.25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477,5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25,01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19,09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Thóp hậu</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Cao/đông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trên đất có công trình trên đất có công trình nhà 2 tầng, kết cấu BTCT, tường xây gạch chịu lực, sàn lát gạch men, ngoại quan khá. Diện tích xây dựng 80,0 m2/sàn. Công trình được sửa chữa lại vào năm 2013. Công trình chưa được chứng</w:t>
            </w:r>
            <w:r>
              <w:rPr>
                <w:rFonts w:ascii="Times New Roman" w:hAnsi="Times New Roman" w:eastAsia="Times New Roman" w:cs="Times New Roman"/>
                <w:color w:val="000000"/>
                <w:sz w:val="24"/>
              </w:rPr>
              <w:t xml:space="preserve"> nhận trên GCN. </w:t>
            </w:r>
            <w:r/>
          </w:p>
        </w:tc>
      </w:tr>
    </w:tbl>
    <w:p>
      <w:pPr>
        <w:pStyle w:val="1034"/>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Style w:val="103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245,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b/>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Liễu Nham, xã Tân Liễu, huyện Yên Dũng, tỉnh Bắc Giang (nay phường Yên Dũng, tỉnh Bắc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352,8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Đất trồng cây lâu năm 152,8m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Lâu dài, Đất trồng cây lâu năm: đến 15/10/2043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tặng cho đất được công nhận quyền sử dụng đất như giao đất có thu tiền sử dụng đất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Nhận tặng cho đất được công nhận quyền sử dụng đất như giao đất không thu tiền sử dụng đất 152,8m</w:t>
            </w:r>
            <w:r>
              <w:rPr>
                <w:rFonts w:ascii="Times New Roman" w:hAnsi="Times New Roman" w:eastAsia="Times New Roman" w:cs="Times New Roman"/>
                <w:color w:val="000000"/>
                <w:sz w:val="20"/>
                <w:vertAlign w:val="superscript"/>
              </w:rPr>
              <w:t xml:space="preserve">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732"/>
              </w:tabs>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Tài sản cách trục chính thôn khoảng 300m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đường giao thông.</w:t>
              <w:br/>
              <w:t xml:space="preserve"> Các hướng khác: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(21.22322222222222, 106.24047222222)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4981575" cy="25431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68485" name=""/>
                              <pic:cNvPicPr>
                                <a:picLocks noChangeAspect="1"/>
                              </pic:cNvPicPr>
                              <pic:nvPr/>
                            </pic:nvPicPr>
                            <pic:blipFill rotWithShape="1">
                              <a:blip r:embed="rId18"/>
                              <a:stretch/>
                            </pic:blipFill>
                            <pic:spPr bwMode="auto">
                              <a:xfrm>
                                <a:off x="0" y="0"/>
                                <a:ext cx="4981574"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5pt;height:200.25pt;mso-wrap-distance-left:0.00pt;mso-wrap-distance-top:0.00pt;mso-wrap-distance-right:0.00pt;mso-wrap-distance-bottom:0.00pt;z-index:1;" stroked="false">
                      <v:imagedata r:id="rId18"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352,8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Thóp hậu</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Cao/đông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trên đất có công trình trên đất có công trình nhà 2 tầng, kết cấu BTCT, tường xây gạch chịu lực, sàn lát gạch men, ngoại quan khá. Diện tích xây dựng 70,0 m2/sàn. Công trình được sửa chữa lại vào năm 2013. Công trình chưa được chứng</w:t>
            </w:r>
            <w:r>
              <w:rPr>
                <w:rFonts w:ascii="Times New Roman" w:hAnsi="Times New Roman" w:eastAsia="Times New Roman" w:cs="Times New Roman"/>
                <w:color w:val="000000"/>
                <w:sz w:val="24"/>
              </w:rPr>
              <w:t xml:space="preserve"> nhận trên GCN. </w:t>
            </w: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Đối diện đình Liễu Nham</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Tại thời điểm khảo sát, tài sản 1 trên đất có công trình trên đất có công trình nhà 2 tầng, kết cấu BTCT, tường xây gạch chịu lực, sàn lát gạch men, ngoại quan khá. Diện tích xây dựng 80,0 m2/sàn. Công trình được sửa chữa lại vào năm 2013. Công trình chưa </w:t>
      </w:r>
      <w:r>
        <w:rPr>
          <w:rFonts w:ascii="Times New Roman" w:hAnsi="Times New Roman" w:eastAsia="Times New Roman" w:cs="Times New Roman"/>
          <w:color w:val="000000"/>
          <w:sz w:val="24"/>
        </w:rPr>
        <w:t xml:space="preserve">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w:t>
      </w:r>
      <w:r>
        <w:rPr>
          <w:rFonts w:ascii="Times New Roman" w:hAnsi="Times New Roman" w:eastAsia="Times New Roman" w:cs="Times New Roman"/>
          <w:color w:val="000000"/>
          <w:sz w:val="24"/>
        </w:rPr>
        <w:t xml:space="preserve">g trình xây dựng hiện có vào tổng giá trị nhưng vẫn coi công trình xây dựng là phần không thể tách rời của tài sản thẩm định. Kính đề nghị đơn vị sử dụng kết quả lưu ý</w:t>
      </w:r>
      <w:r/>
    </w:p>
    <w:p>
      <w:pPr>
        <w:pStyle w:val="1034"/>
        <w:numPr>
          <w:ilvl w:val="0"/>
          <w:numId w:val="3"/>
        </w:numPr>
        <w:pBdr/>
        <w:tabs>
          <w:tab w:val="left" w:leader="none" w:pos="993"/>
        </w:tabs>
        <w:spacing w:after="120" w:before="120" w:line="264" w:lineRule="auto"/>
        <w:ind/>
        <w:jc w:val="both"/>
        <w:rPr>
          <w:lang w:val="pt-BR"/>
        </w:rPr>
      </w:pPr>
      <w:r>
        <w:rPr>
          <w:rFonts w:ascii="Times New Roman" w:hAnsi="Times New Roman" w:eastAsia="Times New Roman" w:cs="Times New Roman"/>
          <w:color w:val="000000"/>
          <w:sz w:val="24"/>
        </w:rPr>
        <w:t xml:space="preserve">Tại thời điểm khảo sát, tài sản 2 trên đất có công trình trên đất có công trình nhà 2 tầng, kết cấu BTCT, tường xây gạch chịu lực, sàn lát gạch men, ngoại quan khá. Diện tích xây dựng 70,0 m2/sàn. Công trình được sửa chữa lại vào năm 2013. Công trình chưa </w:t>
      </w:r>
      <w:r>
        <w:rPr>
          <w:rFonts w:ascii="Times New Roman" w:hAnsi="Times New Roman" w:eastAsia="Times New Roman" w:cs="Times New Roman"/>
          <w:color w:val="000000"/>
          <w:sz w:val="24"/>
        </w:rPr>
        <w:t xml:space="preserve">được chứng nhận trên GCN. Công trình chưa 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w:t>
      </w:r>
      <w:r>
        <w:rPr>
          <w:rFonts w:ascii="Times New Roman" w:hAnsi="Times New Roman" w:eastAsia="Times New Roman" w:cs="Times New Roman"/>
          <w:color w:val="000000"/>
          <w:sz w:val="24"/>
        </w:rPr>
        <w:t xml:space="preserve">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highlight w:val="none"/>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4"/>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0984875593</w:t>
            </w:r>
            <w:r>
              <w:rPr>
                <w:sz w:val="22"/>
                <w:szCs w:val="22"/>
              </w:rPr>
              <w:t xml:space="preserve"> </w:t>
            </w:r>
            <w:r>
              <w:rPr>
                <w:sz w:val="22"/>
                <w:szCs w:val="22"/>
              </w:rPr>
              <w:br/>
              <w:t xml:space="preserve">(</w:t>
            </w:r>
            <w:r>
              <w:rPr>
                <w:color w:val="000000" w:themeColor="text1"/>
                <w:sz w:val="22"/>
                <w:szCs w:val="22"/>
              </w:rPr>
              <w:t xml:space="preserve">Kevin)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0845796222</w:t>
            </w:r>
            <w:r>
              <w:rPr>
                <w:sz w:val="22"/>
                <w:szCs w:val="22"/>
              </w:rPr>
              <w:br/>
              <w:t xml:space="preserve">(</w:t>
            </w:r>
            <w:r>
              <w:rPr>
                <w:color w:val="000000" w:themeColor="text1"/>
                <w:sz w:val="22"/>
                <w:szCs w:val="22"/>
              </w:rPr>
              <w:t xml:space="preserve">Chiến Anh)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0587752222</w:t>
            </w:r>
            <w:r>
              <w:rPr>
                <w:sz w:val="22"/>
                <w:szCs w:val="22"/>
              </w:rPr>
              <w:br/>
              <w:t xml:space="preserve">(</w:t>
            </w:r>
            <w:r>
              <w:rPr>
                <w:color w:val="000000" w:themeColor="text1"/>
                <w:sz w:val="22"/>
                <w:szCs w:val="22"/>
              </w:rPr>
              <w:t xml:space="preserve">Nguyễn Lợi)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(200m²), Đất trồng cây lâu năm (152,8m²)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Đất ở nông thôn: Lâu dài, Đất trồng cây lâu năm: đến 15/10/2043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trục liên thôn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liên thôn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thôn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đê thôn Liễu Đề</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đối diện đình Liễu Nham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4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trHeight w:val="45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Đất trống</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Đất trống</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Đất trống</w: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1.791.000.000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1.791.000.000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11.131.137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14.577.465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0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1.791.000.000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11.131.137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14.577.465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11.131.137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14.577.465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trục liên thôn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trục chính liên thôn khoảng 10m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liên thôn khoảng 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đường đê thôn Liễu Đề</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-333.934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10.797.203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14.577.465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10.797.203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13.848.592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8.891.431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160,9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240,4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-1.113.114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-2.915.493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9.684.089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10.933.099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8.423.461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10.240.646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11.661.972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8.891.431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10.797.203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12.390.845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10.240.646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11.661.972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8.891.431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đối diện đình Liễu Nham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-1.113.114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-1.457.747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-935.940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9.127.532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10.204.225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7.955.491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đất ở/Tổng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56,7%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82,4%</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-1.113.114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-2.186.620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-1.403.910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8.014.418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8.017.605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6.551.581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8.014.418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8.017.605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6.551.581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7.527.868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-12,97%</w:t>
            </w:r>
            <w:r>
              <w:rPr>
                <w:color w:val="000000"/>
                <w:sz w:val="22"/>
                <w:szCs w:val="22"/>
              </w:rPr>
            </w:r>
            <w:r>
              <w:rPr>
                <w:color w:val="000000"/>
                <w:sz w:val="22"/>
                <w:szCs w:val="22"/>
              </w:rPr>
            </w:r>
          </w:p>
        </w:tc>
      </w:tr>
      <w:tr>
        <w:trPr>
          <w:trHeight w:val="519"/>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w:t>
            </w:r>
            <w:r>
              <w:rPr>
                <w:color w:val="000000"/>
                <w:sz w:val="22"/>
                <w:szCs w:val="22"/>
              </w:rPr>
              <w:t xml:space="preserve">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5.342.947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9.475.352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4.679.700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3.116.719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6.559.860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2.807.820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6,46% đến 12,97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8.014.418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2.672.007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8.017.605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2.672.268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6.551.581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2.183.642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7.527.917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7.500.000</w:t>
            </w:r>
            <w:r>
              <w:rPr>
                <w:b/>
                <w:bCs/>
                <w:color w:val="000000"/>
              </w:rPr>
            </w:r>
            <w:r>
              <w:rPr>
                <w:b/>
                <w:bCs/>
                <w:color w:val="000000"/>
              </w:rPr>
            </w:r>
          </w:p>
        </w:tc>
      </w:tr>
    </w:tbl>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7.500.000</w:t>
      </w:r>
      <w:r>
        <w:rPr>
          <w:b/>
          <w:bCs/>
          <w:color w:val="000000" w:themeColor="text1"/>
        </w:rPr>
        <w:t xml:space="preserve"> </w:t>
      </w:r>
      <w:r>
        <w:rPr>
          <w:b/>
          <w:bCs/>
        </w:rPr>
        <w:t xml:space="preserve">đồng/m².</w:t>
      </w:r>
      <w:r>
        <w:rPr>
          <w:b/>
          <w:bCs/>
        </w:rPr>
      </w:r>
      <w:r>
        <w:rPr>
          <w:b/>
          <w:bCs/>
        </w:rPr>
      </w:r>
    </w:p>
    <w:p>
      <w:pPr>
        <w:pStyle w:val="1034"/>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Bdr/>
        <w:tabs>
          <w:tab w:val="left" w:leader="none" w:pos="720"/>
        </w:tabs>
        <w:spacing w:after="120" w:before="120" w:line="276" w:lineRule="auto"/>
        <w:ind/>
        <w:jc w:val="both"/>
        <w:rPr>
          <w:b/>
          <w:lang w:val="nl-NL"/>
        </w:rPr>
      </w:pPr>
      <w:r>
        <w:rPr>
          <w:b/>
          <w:lang w:val="nl-NL"/>
        </w:rPr>
      </w:r>
      <w:r>
        <w:rPr>
          <w:rFonts w:ascii="Times New Roman" w:hAnsi="Times New Roman" w:eastAsia="Times New Roman" w:cs="Times New Roman"/>
          <w:color w:val="000000"/>
          <w:sz w:val="24"/>
        </w:rPr>
        <w:t xml:space="preserve">Qua khảo sát hiện trạng tài sản thẩm định, tổ thẩm định nhận thấy Tài sản 2 nằm liền kề tương đồng về vị trí, diện tích, mặt tiền, độ rộng đường … với tài sản 1. Do đó, tổ thẩm định xác định đơn giá của Tài sản 2 bằng với đơn giá của tài sản 01 là 7.500.00</w:t>
      </w:r>
      <w:r>
        <w:rPr>
          <w:rFonts w:ascii="Times New Roman" w:hAnsi="Times New Roman" w:eastAsia="Times New Roman" w:cs="Times New Roman"/>
          <w:color w:val="000000"/>
          <w:sz w:val="24"/>
        </w:rPr>
        <w:t xml:space="preserve">0 đồng/m²</w:t>
      </w:r>
      <w:r>
        <w:rPr>
          <w:b/>
          <w:lang w:val="nl-NL"/>
        </w:rPr>
      </w:r>
      <w:r>
        <w:rPr>
          <w:b/>
          <w:lang w:val="nl-NL"/>
        </w:rPr>
      </w:r>
    </w:p>
    <w:p>
      <w:pPr>
        <w:pStyle w:val="103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Style w:val="103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2539"/>
        <w:gridCol w:w="2099"/>
        <w:gridCol w:w="2200"/>
        <w:gridCol w:w="220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244,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Đất ở tại nông thôn + Đất trồng cây lâu năm</w:t>
            </w:r>
            <w:r/>
          </w:p>
        </w:tc>
        <w:tc>
          <w:tcPr>
            <w:tcBorders>
              <w:bottom w:val="single" w:color="000000" w:sz="8" w:space="0"/>
              <w:right w:val="single" w:color="000000" w:sz="8" w:space="0"/>
            </w:tcBorders>
            <w:tcMar>
              <w:left w:w="108" w:type="dxa"/>
              <w:top w:w="0" w:type="dxa"/>
              <w:right w:w="108" w:type="dxa"/>
              <w:bottom w:w="0" w:type="dxa"/>
            </w:tcMar>
            <w:tcW w:w="209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477,5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3.581.250.000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245, tờ bản đồ số: 29 có địa chỉ: Thôn Liễu Nham, xã Tân Liễu, huyện Yên Dũng, tỉnh Bắc Giang (nay phường Yên Dũng, tỉnh Bắc Ninh)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Đất ở tại nông thôn + Đất trồng cây lâu năm</w:t>
            </w:r>
            <w:r/>
          </w:p>
        </w:tc>
        <w:tc>
          <w:tcPr>
            <w:tcBorders>
              <w:bottom w:val="single" w:color="000000" w:sz="8" w:space="0"/>
              <w:right w:val="single" w:color="000000" w:sz="8" w:space="0"/>
            </w:tcBorders>
            <w:tcMar>
              <w:left w:w="108" w:type="dxa"/>
              <w:top w:w="0" w:type="dxa"/>
              <w:right w:w="108" w:type="dxa"/>
              <w:bottom w:w="0" w:type="dxa"/>
            </w:tcMar>
            <w:tcW w:w="209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352,8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2.646.000.000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6.227.250.000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2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6.227.000.000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7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Sáu tỷ hai trăm hai mươi bảy triệu đồng./.)</w:t>
            </w:r>
            <w:r/>
          </w:p>
        </w:tc>
      </w:tr>
    </w:tbl>
    <w:p>
      <w:pPr>
        <w:pStyle w:val="1034"/>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4"/>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34"/>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r>
        <w:rPr>
          <w:lang w:val="pt-BR"/>
        </w:rPr>
      </w:r>
    </w:p>
    <w:p>
      <w:pPr>
        <w:pStyle w:val="1034"/>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Tại thời điểm khảo sát, tài sản 1 trên đất có công trình trên đất có công trình nhà 2 tầng, kết cấu BTCT, tường xây gạch chịu lực, sàn lát gạch men, ngoại quan khá. Diện tích xây dựng 80,0 m2/sàn. Công trình được sửa chữa lại vào năm 2013. Công trình chưa </w:t>
      </w:r>
      <w:r>
        <w:rPr>
          <w:rFonts w:ascii="Times New Roman" w:hAnsi="Times New Roman" w:eastAsia="Times New Roman" w:cs="Times New Roman"/>
          <w:color w:val="000000"/>
          <w:sz w:val="24"/>
        </w:rPr>
        <w:t xml:space="preserve">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w:t>
      </w:r>
      <w:r>
        <w:rPr>
          <w:rFonts w:ascii="Times New Roman" w:hAnsi="Times New Roman" w:eastAsia="Times New Roman" w:cs="Times New Roman"/>
          <w:color w:val="000000"/>
          <w:sz w:val="24"/>
        </w:rPr>
        <w:t xml:space="preserve">g trình xây dựng hiện có vào tổng giá trị nhưng vẫn coi công trình xây dựng là phần không thể tách rời của tài sản thẩm định. Kính đề nghị đơn vị sử dụng kết quả lưu ý</w:t>
      </w:r>
      <w:r/>
    </w:p>
    <w:p>
      <w:pPr>
        <w:pStyle w:val="1034"/>
        <w:numPr>
          <w:ilvl w:val="0"/>
          <w:numId w:val="5"/>
        </w:numPr>
        <w:pBdr/>
        <w:tabs>
          <w:tab w:val="left" w:leader="none" w:pos="993"/>
        </w:tabs>
        <w:spacing w:after="120" w:before="120" w:line="305" w:lineRule="auto"/>
        <w:ind w:hanging="357" w:left="357"/>
        <w:jc w:val="both"/>
        <w:rPr>
          <w:lang w:val="pt-BR"/>
        </w:rPr>
      </w:pPr>
      <w:r>
        <w:rPr>
          <w:rFonts w:ascii="Times New Roman" w:hAnsi="Times New Roman" w:eastAsia="Times New Roman" w:cs="Times New Roman"/>
          <w:color w:val="000000"/>
          <w:sz w:val="24"/>
        </w:rPr>
        <w:t xml:space="preserve">Tại thời điểm khảo sát, tài sản 2 trên đất có công trình trên đất có công trình nhà 2 tầng, kết cấu BTCT, tường xây gạch chịu lực, sàn lát gạch men, ngoại quan khá. Diện tích xây dựng 70,0 m2/sàn. Công trình được sửa chữa lại vào năm 2013. Công trình chưa </w:t>
      </w:r>
      <w:r>
        <w:rPr>
          <w:rFonts w:ascii="Times New Roman" w:hAnsi="Times New Roman" w:eastAsia="Times New Roman" w:cs="Times New Roman"/>
          <w:color w:val="000000"/>
          <w:sz w:val="24"/>
        </w:rPr>
        <w:t xml:space="preserve">được chứng nhận trên GCN. Công trình chưa 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w:t>
      </w:r>
      <w:r>
        <w:rPr>
          <w:rFonts w:ascii="Times New Roman" w:hAnsi="Times New Roman" w:eastAsia="Times New Roman" w:cs="Times New Roman"/>
          <w:color w:val="000000"/>
          <w:sz w:val="24"/>
        </w:rPr>
        <w:t xml:space="preserve">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highlight w:val="none"/>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Bdr/>
        <w:spacing w:after="200" w:line="276" w:lineRule="auto"/>
        <w:ind/>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275/2026/1106/VFI-CT.48.A</w:t>
      </w:r>
      <w:r>
        <w:rPr>
          <w:color w:val="000000" w:themeColor="text1"/>
        </w:rPr>
        <w:t xml:space="preserve"> </w:t>
      </w:r>
      <w:r>
        <w:rPr>
          <w:lang w:val="vi-VN"/>
        </w:rPr>
        <w:t xml:space="preserve">ngày </w:t>
      </w:r>
      <w:r>
        <w:rPr>
          <w:color w:val="000000" w:themeColor="text1"/>
        </w:rPr>
        <w:t xml:space="preserve">ngày 22 tháng 7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Lê Thị Thịnh</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275/2026/1106/VFI-BC.48.A </w:t>
      </w:r>
      <w:r>
        <w:rPr>
          <w:i/>
          <w:lang w:val="pt-BR"/>
        </w:rPr>
        <w:t xml:space="preserve">ngày </w:t>
      </w:r>
      <w:r>
        <w:rPr>
          <w:i/>
          <w:lang w:val="pt-BR"/>
        </w:rPr>
        <w:t xml:space="preserve">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18315" cy="188873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09339" name=""/>
                              <pic:cNvPicPr>
                                <a:picLocks noChangeAspect="1"/>
                              </pic:cNvPicPr>
                              <pic:nvPr/>
                            </pic:nvPicPr>
                            <pic:blipFill rotWithShape="1">
                              <a:blip r:embed="rId19"/>
                              <a:stretch/>
                            </pic:blipFill>
                            <pic:spPr bwMode="auto">
                              <a:xfrm flipH="0" flipV="0">
                                <a:off x="0" y="0"/>
                                <a:ext cx="2518314" cy="18887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8.29pt;height:148.72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59950" cy="191996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75396" name=""/>
                              <pic:cNvPicPr>
                                <a:picLocks noChangeAspect="1"/>
                              </pic:cNvPicPr>
                              <pic:nvPr/>
                            </pic:nvPicPr>
                            <pic:blipFill rotWithShape="1">
                              <a:blip r:embed="rId20"/>
                              <a:stretch/>
                            </pic:blipFill>
                            <pic:spPr bwMode="auto">
                              <a:xfrm flipH="0" flipV="0">
                                <a:off x="0" y="0"/>
                                <a:ext cx="2559949" cy="19199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57pt;height:151.18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gridBefore w:val="1"/>
        </w:trPr>
        <w:tc>
          <w:tcPr>
            <w:gridSpan w:val="3"/>
            <w:tcBorders/>
            <w:tcW w:w="9515" w:type="dxa"/>
            <w:vAlign w:val="center"/>
            <w:vMerge w:val="restart"/>
            <w:textDirection w:val="lrTb"/>
            <w:noWrap w:val="false"/>
          </w:tcPr>
          <w:p>
            <w:pPr>
              <w:pBdr/>
              <w:spacing w:after="120"/>
              <w:ind/>
              <w:jc w:val="center"/>
              <w:rPr>
                <w:b/>
                <w:bCs/>
                <w:i/>
              </w:rPr>
            </w:pPr>
            <w:r>
              <w:rPr>
                <w:b/>
                <w:bCs/>
                <w:i/>
                <w:iCs/>
                <w:lang w:val="pt-BR"/>
              </w:rPr>
              <w:t xml:space="preserve">Tài sản 1</w:t>
            </w:r>
            <w:r>
              <w:rPr>
                <w:b/>
                <w:bCs/>
                <w:i/>
                <w:iCs/>
                <w:lang w:val="pt-BR"/>
              </w:rPr>
            </w:r>
            <w:r>
              <w:rPr>
                <w:b/>
                <w:bCs/>
                <w:i/>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 </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 </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80629" cy="193547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91262" name=""/>
                              <pic:cNvPicPr>
                                <a:picLocks noChangeAspect="1"/>
                              </pic:cNvPicPr>
                              <pic:nvPr/>
                            </pic:nvPicPr>
                            <pic:blipFill rotWithShape="1">
                              <a:blip r:embed="rId21"/>
                              <a:stretch/>
                            </pic:blipFill>
                            <pic:spPr bwMode="auto">
                              <a:xfrm flipH="0" flipV="0">
                                <a:off x="0" y="0"/>
                                <a:ext cx="2580629" cy="19354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3.20pt;height:152.4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87215" cy="186541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6248" name=""/>
                              <pic:cNvPicPr>
                                <a:picLocks noChangeAspect="1"/>
                              </pic:cNvPicPr>
                              <pic:nvPr/>
                            </pic:nvPicPr>
                            <pic:blipFill rotWithShape="1">
                              <a:blip r:embed="rId22"/>
                              <a:stretch/>
                            </pic:blipFill>
                            <pic:spPr bwMode="auto">
                              <a:xfrm flipH="0" flipV="0">
                                <a:off x="0" y="0"/>
                                <a:ext cx="2487215" cy="18654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5.84pt;height:146.8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gridSpan w:val="3"/>
            <w:tcBorders/>
            <w:tcW w:w="9515" w:type="dxa"/>
            <w:vAlign w:val="center"/>
            <w:textDirection w:val="lrTb"/>
            <w:noWrap w:val="false"/>
          </w:tcPr>
          <w:p>
            <w:pPr>
              <w:pBdr/>
              <w:spacing/>
              <w:ind/>
              <w:jc w:val="center"/>
              <w:rPr>
                <w:b/>
                <w:bCs/>
                <w:i/>
              </w:rPr>
            </w:pPr>
            <w:r>
              <w:rPr>
                <w:b/>
                <w:bCs/>
                <w:i/>
                <w:iCs/>
              </w:rPr>
              <w:t xml:space="preserve">Tài sản 2</w:t>
            </w:r>
            <w:r>
              <w:rPr>
                <w:b/>
                <w:bCs/>
                <w:i/>
                <w:iCs/>
              </w:rPr>
            </w:r>
            <w:r>
              <w:rPr>
                <w:b/>
                <w:bCs/>
                <w:i/>
              </w:rPr>
            </w:r>
          </w:p>
        </w:tc>
      </w:tr>
      <w:tr>
        <w:trPr>
          <w:gridBefore w:val="1"/>
        </w:trPr>
        <w:tc>
          <w:tcPr>
            <w:tcBorders/>
            <w:tcW w:w="4758" w:type="dxa"/>
            <w:vAlign w:val="center"/>
            <w:textDirection w:val="lrTb"/>
            <w:noWrap w:val="false"/>
          </w:tcPr>
          <w:p>
            <w:pPr>
              <w:pBdr/>
              <w:spacing w:after="120"/>
              <w:ind/>
              <w:jc w:val="center"/>
              <w:rPr>
                <w:b/>
                <w:bCs/>
                <w:i/>
              </w:rPr>
            </w:pPr>
            <w:r>
              <w:rPr>
                <w:b/>
                <w:bCs/>
                <w:i/>
                <w:lang w:val="pt-BR"/>
              </w:rPr>
              <w:t xml:space="preserve">Tổng quan tài sản </w:t>
            </w:r>
            <w:r>
              <w:rPr>
                <w:b/>
                <w:bCs/>
                <w:i/>
                <w:lang w:val="pt-BR"/>
              </w:rPr>
            </w:r>
            <w:r>
              <w:rPr>
                <w:b/>
                <w:bCs/>
                <w:i/>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2244" cy="206418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25541" name=""/>
                              <pic:cNvPicPr>
                                <a:picLocks noChangeAspect="1"/>
                              </pic:cNvPicPr>
                              <pic:nvPr/>
                            </pic:nvPicPr>
                            <pic:blipFill rotWithShape="1">
                              <a:blip r:embed="rId23"/>
                              <a:stretch/>
                            </pic:blipFill>
                            <pic:spPr bwMode="auto">
                              <a:xfrm flipH="0" flipV="0">
                                <a:off x="0" y="0"/>
                                <a:ext cx="2752243" cy="2064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71pt;height:162.5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gridSpan w:val="2"/>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0383" cy="205528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255868" name=""/>
                              <pic:cNvPicPr>
                                <a:picLocks noChangeAspect="1"/>
                              </pic:cNvPicPr>
                              <pic:nvPr/>
                            </pic:nvPicPr>
                            <pic:blipFill rotWithShape="1">
                              <a:blip r:embed="rId24"/>
                              <a:stretch/>
                            </pic:blipFill>
                            <pic:spPr bwMode="auto">
                              <a:xfrm flipH="0" flipV="0">
                                <a:off x="0" y="0"/>
                                <a:ext cx="2740383" cy="20552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78pt;height:161.83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bl>
    <w:p>
      <w:pPr>
        <w:pBdr/>
        <w:spacing/>
        <w:ind/>
        <w:rPr/>
      </w:pPr>
      <w:r/>
      <w:r/>
    </w:p>
    <w:p>
      <w:pPr>
        <w:pBdr/>
        <w:spacing w:after="200" w:line="276" w:lineRule="auto"/>
        <w:ind w:firstLine="720"/>
        <w:jc w:val="center"/>
        <w:rPr/>
      </w:pPr>
      <w:r>
        <w:rPr>
          <w:b/>
          <w:bCs/>
          <w:i/>
          <w:lang w:val="pt-BR"/>
        </w:rPr>
      </w:r>
      <w:r/>
    </w:p>
    <w:p>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275/2026/1106/VFI-BC.48.A </w:t>
      </w:r>
      <w:r>
        <w:rPr>
          <w:i/>
        </w:rPr>
        <w:t xml:space="preserve">ngày</w:t>
      </w:r>
      <w:r>
        <w:rPr>
          <w:i/>
        </w:rPr>
        <w:t xml:space="preserve"> </w:t>
      </w:r>
      <w:r>
        <w:rPr>
          <w:i/>
          <w:lang w:val="pt-BR"/>
        </w:rPr>
        <w:t xml:space="preserve">22 tháng 7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 sánh cho </w:t>
      </w:r>
      <w:r>
        <w:rPr>
          <w:b/>
          <w:i/>
          <w:iCs/>
          <w:lang w:val="pt-BR"/>
        </w:rPr>
        <w:t xml:space="preserve">Tài sản 01, Tài sản 2</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0984875593</w:t>
            </w:r>
            <w:r>
              <w:rPr>
                <w:sz w:val="22"/>
                <w:szCs w:val="22"/>
              </w:rPr>
              <w:t xml:space="preserve"> </w:t>
            </w:r>
            <w:r>
              <w:rPr>
                <w:sz w:val="22"/>
                <w:szCs w:val="22"/>
              </w:rPr>
              <w:br/>
              <w:t xml:space="preserve">(</w:t>
            </w:r>
            <w:r>
              <w:rPr>
                <w:color w:val="000000" w:themeColor="text1"/>
                <w:sz w:val="22"/>
                <w:szCs w:val="22"/>
              </w:rPr>
              <w:t xml:space="preserve">Kevin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1.791.000.000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chính liên thôn khoảng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57127" cy="2584993"/>
                      <wp:effectExtent l="0" t="0" r="0" b="0"/>
                      <wp:docPr id="13" name=""/>
                      <wp:cNvGraphicFramePr/>
                      <a:graphic xmlns:a="http://schemas.openxmlformats.org/drawingml/2006/main">
                        <a:graphicData uri="http://schemas.openxmlformats.org/drawingml/2006/picture">
                          <pic:pic xmlns:pic="http://schemas.openxmlformats.org/drawingml/2006/picture">
                            <pic:nvPicPr>
                              <pic:cNvPr id="1438779935" name="" descr=""/>
                              <pic:cNvPicPr/>
                              <pic:nvPr/>
                            </pic:nvPicPr>
                            <pic:blipFill rotWithShape="1">
                              <a:blip r:embed="rId25"/>
                              <a:stretch/>
                            </pic:blipFill>
                            <pic:spPr bwMode="auto">
                              <a:xfrm flipH="0" flipV="0">
                                <a:off x="0" y="0"/>
                                <a:ext cx="2457127" cy="25849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3.47pt;height:203.54pt;mso-wrap-distance-left:0.00pt;mso-wrap-distance-top:0.00pt;mso-wrap-distance-right:0.00pt;mso-wrap-distance-bottom:0.00pt;z-index:1;" stroked="false">
                      <v:imagedata r:id="rId2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01636" cy="256767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221673387" name="" descr=""/>
                              <pic:cNvPicPr/>
                              <pic:nvPr/>
                            </pic:nvPicPr>
                            <pic:blipFill rotWithShape="1">
                              <a:blip r:embed="rId26"/>
                              <a:stretch/>
                            </pic:blipFill>
                            <pic:spPr bwMode="auto">
                              <a:xfrm flipH="0" flipV="0">
                                <a:off x="0" y="0"/>
                                <a:ext cx="2701636" cy="25676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2.73pt;height:202.18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09627" cy="2542742"/>
                      <wp:effectExtent l="0" t="0" r="0" b="0"/>
                      <wp:docPr id="15" name=""/>
                      <wp:cNvGraphicFramePr/>
                      <a:graphic xmlns:a="http://schemas.openxmlformats.org/drawingml/2006/main">
                        <a:graphicData uri="http://schemas.openxmlformats.org/drawingml/2006/picture">
                          <pic:pic xmlns:pic="http://schemas.openxmlformats.org/drawingml/2006/picture">
                            <pic:nvPicPr>
                              <pic:cNvPr id="1445632689" name="" descr=""/>
                              <pic:cNvPicPr/>
                              <pic:nvPr/>
                            </pic:nvPicPr>
                            <pic:blipFill rotWithShape="1">
                              <a:blip r:embed="rId27"/>
                              <a:stretch/>
                            </pic:blipFill>
                            <pic:spPr bwMode="auto">
                              <a:xfrm flipH="0" flipV="0">
                                <a:off x="0" y="0"/>
                                <a:ext cx="3409627" cy="25427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8.47pt;height:200.2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p>
            <w:pPr>
              <w:pBdr/>
              <w:spacing/>
              <w:ind/>
              <w:jc w:val="center"/>
              <w:rPr>
                <w:b/>
                <w:bCs/>
              </w:rPr>
            </w:pPr>
            <w:r>
              <w:rPr>
                <w:b/>
                <w:bCs/>
              </w:rPr>
            </w:r>
            <w:r>
              <w:rPr>
                <w:b/>
                <w:bCs/>
              </w:rPr>
            </w:r>
            <w:r>
              <w:rPr>
                <w:b/>
                <w:bCs/>
              </w:rPr>
            </w:r>
          </w:p>
        </w:tc>
      </w:tr>
    </w:tbl>
    <w:p>
      <w:pPr>
        <w:pBdr/>
        <w:spacing w:after="120"/>
        <w:ind/>
        <w:jc w:val="center"/>
        <w:rPr>
          <w:b/>
          <w:bCs/>
          <w:lang w:val="pt-BR"/>
        </w:rPr>
      </w:pPr>
      <w:r>
        <w:rPr>
          <w:b/>
          <w:bCs/>
          <w:iCs/>
          <w:highlight w:val="none"/>
          <w:lang w:val="pt-BR"/>
        </w:rPr>
      </w:r>
      <w:r>
        <w:rPr>
          <w:b/>
          <w:bCs/>
          <w:iCs/>
          <w:highlight w:val="none"/>
          <w:lang w:val="pt-BR"/>
        </w:rPr>
      </w:r>
      <w:r>
        <w:rPr>
          <w:b/>
          <w:bCs/>
          <w:lang w:val="pt-BR"/>
        </w:rPr>
      </w:r>
    </w:p>
    <w:p>
      <w:pPr>
        <w:pBdr/>
        <w:spacing w:after="120"/>
        <w:ind/>
        <w:jc w:val="center"/>
        <w:rPr>
          <w:b/>
          <w:bCs/>
          <w:iCs/>
          <w:highlight w:val="none"/>
          <w:lang w:val="pt-BR"/>
        </w:rPr>
      </w:pPr>
      <w:r>
        <w:rPr>
          <w:b/>
          <w:bCs/>
          <w:iCs/>
          <w:lang w:val="pt-BR"/>
        </w:rPr>
        <w:t xml:space="preserve">TSSS</w:t>
      </w:r>
      <w:r>
        <w:rPr>
          <w:b/>
          <w:bCs/>
          <w:iCs/>
          <w:lang w:val="pt-BR"/>
        </w:rPr>
        <w:t xml:space="preserve">2</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0845796222</w:t>
            </w:r>
            <w:r>
              <w:rPr>
                <w:sz w:val="22"/>
                <w:szCs w:val="22"/>
              </w:rPr>
              <w:t xml:space="preserve"> </w:t>
            </w:r>
            <w:r>
              <w:rPr>
                <w:sz w:val="22"/>
                <w:szCs w:val="22"/>
              </w:rPr>
              <w:br/>
              <w:t xml:space="preserve">(</w:t>
            </w:r>
            <w:r>
              <w:rPr>
                <w:color w:val="000000" w:themeColor="text1"/>
                <w:sz w:val="22"/>
                <w:szCs w:val="22"/>
              </w:rPr>
              <w:t xml:space="preserve">Chiến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liên thôn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91409" cy="2804279"/>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791408" cy="28042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80pt;height:220.8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5759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6575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9.2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7343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9734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12.8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0587752222</w:t>
            </w:r>
            <w:r>
              <w:rPr>
                <w:sz w:val="22"/>
                <w:szCs w:val="22"/>
              </w:rPr>
              <w:t xml:space="preserve"> </w:t>
            </w:r>
            <w:r>
              <w:rPr>
                <w:sz w:val="22"/>
                <w:szCs w:val="22"/>
              </w:rPr>
              <w:br/>
              <w:t xml:space="preserve">(</w:t>
            </w:r>
            <w:r>
              <w:rPr>
                <w:color w:val="000000" w:themeColor="text1"/>
                <w:sz w:val="22"/>
                <w:szCs w:val="22"/>
              </w:rPr>
              <w:t xml:space="preserve">Nguyễn Lợi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tiếp giáp đường đê thôn Liễu Đề</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27127" cy="2173247"/>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9156070" name="" descr=""/>
                              <pic:cNvPicPr/>
                              <pic:nvPr/>
                            </pic:nvPicPr>
                            <pic:blipFill rotWithShape="1">
                              <a:blip r:embed="rId33"/>
                              <a:stretch/>
                            </pic:blipFill>
                            <pic:spPr bwMode="auto">
                              <a:xfrm flipH="0" flipV="0">
                                <a:off x="0" y="0"/>
                                <a:ext cx="2827127" cy="21732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2.61pt;height:171.12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Phạm Thị Dung</w:t>
            </w:r>
            <w:r>
              <w:rPr>
                <w:b/>
                <w:bCs/>
              </w:rPr>
            </w:r>
            <w:r>
              <w:rPr>
                <w:b/>
                <w:bCs/>
              </w:rPr>
            </w:r>
          </w:p>
        </w:tc>
      </w:tr>
    </w:tbl>
    <w:p>
      <w:pPr>
        <w:pBdr/>
        <w:spacing w:after="200" w:line="276" w:lineRule="auto"/>
        <w:ind/>
        <w:rPr>
          <w:b/>
          <w:bCs/>
        </w:rPr>
      </w:pPr>
      <w:r>
        <w:rPr>
          <w:b/>
          <w:bCs/>
        </w:rPr>
      </w:r>
      <w:r>
        <w:rPr>
          <w:b/>
          <w:bCs/>
        </w:rPr>
      </w:r>
      <w:r>
        <w:rPr>
          <w:b/>
          <w:bCs/>
        </w:rPr>
      </w:r>
    </w:p>
    <w:p>
      <w:pPr>
        <w:pBdr/>
        <w:spacing w:after="200" w:line="276" w:lineRule="auto"/>
        <w:ind/>
        <w:jc w:val="center"/>
        <w:rPr>
          <w:b/>
          <w:bCs w:val="0"/>
          <w:i w:val="0"/>
          <w:highlight w:val="none"/>
          <w:lang w:val="pt-BR"/>
        </w:rPr>
      </w:pPr>
      <w:r>
        <w:rPr>
          <w:b/>
          <w:i w:val="0"/>
          <w:iCs w:val="0"/>
          <w:lang w:val="pt-BR"/>
        </w:rPr>
        <w:t xml:space="preserve">GIẤY CHỨNG NHẬN QSDĐ</w:t>
      </w:r>
      <w:r>
        <w:rPr>
          <w:b/>
          <w:bCs w:val="0"/>
          <w:i w:val="0"/>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t xml:space="preserve">SỔ 1</w:t>
      </w:r>
      <w:r>
        <w:rPr>
          <w:b/>
          <w:bCs w:val="0"/>
          <w:i w:val="0"/>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5703247" cy="429101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36958" name=""/>
                        <pic:cNvPicPr>
                          <a:picLocks noChangeAspect="1"/>
                        </pic:cNvPicPr>
                        <pic:nvPr/>
                      </pic:nvPicPr>
                      <pic:blipFill rotWithShape="1">
                        <a:blip r:embed="rId34"/>
                        <a:srcRect l="15782" t="0" r="22745" b="0"/>
                        <a:stretch/>
                      </pic:blipFill>
                      <pic:spPr bwMode="auto">
                        <a:xfrm flipH="0" flipV="0">
                          <a:off x="0" y="0"/>
                          <a:ext cx="5703246" cy="42910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9.07pt;height:337.87pt;mso-wrap-distance-left:0.00pt;mso-wrap-distance-top:0.00pt;mso-wrap-distance-right:0.00pt;mso-wrap-distance-bottom:0.00pt;z-index:1;" stroked="false">
                <v:imagedata r:id="rId34" o:title="" croptop="0f" cropleft="10343f" cropbottom="0f" cropright="14906f"/>
                <o:lock v:ext="edit" rotation="t"/>
              </v:shape>
            </w:pict>
          </mc:Fallback>
        </mc:AlternateContent>
      </w:r>
      <w:r>
        <w:rPr>
          <w:b/>
          <w:bCs w:val="0"/>
          <w:i w:val="0"/>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5568383" cy="410841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83689" name=""/>
                        <pic:cNvPicPr>
                          <a:picLocks noChangeAspect="1"/>
                        </pic:cNvPicPr>
                        <pic:nvPr/>
                      </pic:nvPicPr>
                      <pic:blipFill rotWithShape="1">
                        <a:blip r:embed="rId35"/>
                        <a:srcRect l="11845" t="0" r="28848" b="0"/>
                        <a:stretch/>
                      </pic:blipFill>
                      <pic:spPr bwMode="auto">
                        <a:xfrm flipH="0" flipV="0">
                          <a:off x="0" y="0"/>
                          <a:ext cx="5568382" cy="4108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38.46pt;height:323.50pt;mso-wrap-distance-left:0.00pt;mso-wrap-distance-top:0.00pt;mso-wrap-distance-right:0.00pt;mso-wrap-distance-bottom:0.00pt;z-index:1;" stroked="false">
                <v:imagedata r:id="rId35" o:title="" croptop="0f" cropleft="7763f" cropbottom="0f" cropright="18906f"/>
                <o:lock v:ext="edit" rotation="t"/>
              </v:shape>
            </w:pict>
          </mc:Fallback>
        </mc:AlternateContent>
      </w:r>
      <w:r>
        <w:rPr>
          <w:b/>
          <w:bCs w:val="0"/>
          <w:i w:val="0"/>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6104339" cy="833901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62713" name=""/>
                        <pic:cNvPicPr>
                          <a:picLocks noChangeAspect="1"/>
                        </pic:cNvPicPr>
                        <pic:nvPr/>
                      </pic:nvPicPr>
                      <pic:blipFill rotWithShape="1">
                        <a:blip r:embed="rId36"/>
                        <a:srcRect l="0" t="17902" r="0" b="18914"/>
                        <a:stretch/>
                      </pic:blipFill>
                      <pic:spPr bwMode="auto">
                        <a:xfrm flipH="0" flipV="0">
                          <a:off x="0" y="0"/>
                          <a:ext cx="6104339" cy="8339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80.66pt;height:656.61pt;mso-wrap-distance-left:0.00pt;mso-wrap-distance-top:0.00pt;mso-wrap-distance-right:0.00pt;mso-wrap-distance-bottom:0.00pt;z-index:1;" stroked="false">
                <v:imagedata r:id="rId36" o:title="" croptop="11732f" cropleft="0f" cropbottom="12395f" cropright="0f"/>
                <o:lock v:ext="edit" rotation="t"/>
              </v:shape>
            </w:pict>
          </mc:Fallback>
        </mc:AlternateContent>
      </w:r>
      <w:r>
        <w:rPr>
          <w:b/>
          <w:bCs w:val="0"/>
          <w:i w:val="0"/>
        </w:rPr>
      </w:r>
      <w:r>
        <w:rPr>
          <w:b/>
          <w:bCs w:val="0"/>
          <w:i w:val="0"/>
          <w:highlight w:val="none"/>
          <w:lang w:val="pt-BR"/>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highlight w:val="none"/>
          <w:lang w:val="pt-BR"/>
        </w:rPr>
      </w:pPr>
      <w:r>
        <w:rPr>
          <w:b/>
          <w:i w:val="0"/>
          <w:iCs w:val="0"/>
          <w:highlight w:val="none"/>
          <w:lang w:val="pt-BR"/>
        </w:rPr>
        <w:t xml:space="preserve">SỔ 2</w:t>
      </w:r>
      <w:r>
        <w:rPr>
          <w:b/>
          <w:bCs w:val="0"/>
          <w:i w:val="0"/>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5366452" cy="378137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46726" name=""/>
                        <pic:cNvPicPr>
                          <a:picLocks noChangeAspect="1"/>
                        </pic:cNvPicPr>
                        <pic:nvPr/>
                      </pic:nvPicPr>
                      <pic:blipFill rotWithShape="1">
                        <a:blip r:embed="rId37"/>
                        <a:srcRect l="0" t="0" r="15882" b="0"/>
                        <a:stretch/>
                      </pic:blipFill>
                      <pic:spPr bwMode="auto">
                        <a:xfrm flipH="0" flipV="0">
                          <a:off x="0" y="0"/>
                          <a:ext cx="5366451" cy="3781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22.56pt;height:297.75pt;mso-wrap-distance-left:0.00pt;mso-wrap-distance-top:0.00pt;mso-wrap-distance-right:0.00pt;mso-wrap-distance-bottom:0.00pt;z-index:1;" stroked="false">
                <v:imagedata r:id="rId37" o:title="" croptop="0f" cropleft="0f" cropbottom="0f" cropright="10408f"/>
                <o:lock v:ext="edit" rotation="t"/>
              </v:shape>
            </w:pict>
          </mc:Fallback>
        </mc:AlternateContent>
      </w:r>
      <w:r>
        <w:rPr>
          <w:b/>
          <w:bCs w:val="0"/>
          <w:i w:val="0"/>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5707180" cy="3999613"/>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64413" name=""/>
                        <pic:cNvPicPr>
                          <a:picLocks noChangeAspect="1"/>
                        </pic:cNvPicPr>
                        <pic:nvPr/>
                      </pic:nvPicPr>
                      <pic:blipFill rotWithShape="1">
                        <a:blip r:embed="rId38"/>
                        <a:srcRect l="4993" t="0" r="17143" b="0"/>
                        <a:stretch/>
                      </pic:blipFill>
                      <pic:spPr bwMode="auto">
                        <a:xfrm flipH="0" flipV="0">
                          <a:off x="0" y="0"/>
                          <a:ext cx="5707180" cy="39996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49.38pt;height:314.93pt;mso-wrap-distance-left:0.00pt;mso-wrap-distance-top:0.00pt;mso-wrap-distance-right:0.00pt;mso-wrap-distance-bottom:0.00pt;z-index:1;" stroked="false">
                <v:imagedata r:id="rId38" o:title="" croptop="0f" cropleft="3272f" cropbottom="0f" cropright="11235f"/>
                <o:lock v:ext="edit" rotation="t"/>
              </v:shape>
            </w:pict>
          </mc:Fallback>
        </mc:AlternateContent>
      </w:r>
      <w:r>
        <w:rPr>
          <w:b/>
          <w:bCs w:val="0"/>
          <w:i w:val="0"/>
        </w:rPr>
      </w:r>
      <w:r>
        <w:rPr>
          <w:b/>
          <w:bCs w:val="0"/>
          <w:i w:val="0"/>
          <w:highlight w:val="none"/>
          <w:lang w:val="pt-BR"/>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5686900" cy="908196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18236" name=""/>
                        <pic:cNvPicPr>
                          <a:picLocks noChangeAspect="1"/>
                        </pic:cNvPicPr>
                        <pic:nvPr/>
                      </pic:nvPicPr>
                      <pic:blipFill rotWithShape="1">
                        <a:blip r:embed="rId39"/>
                        <a:srcRect l="0" t="12300" r="0" b="13837"/>
                        <a:stretch/>
                      </pic:blipFill>
                      <pic:spPr bwMode="auto">
                        <a:xfrm flipH="0" flipV="0">
                          <a:off x="0" y="0"/>
                          <a:ext cx="5686900" cy="9081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47.79pt;height:715.11pt;mso-wrap-distance-left:0.00pt;mso-wrap-distance-top:0.00pt;mso-wrap-distance-right:0.00pt;mso-wrap-distance-bottom:0.00pt;z-index:1;" stroked="false">
                <v:imagedata r:id="rId39" o:title="" croptop="8061f" cropleft="0f" cropbottom="9068f" cropright="0f"/>
                <o:lock v:ext="edit" rotation="t"/>
              </v:shape>
            </w:pict>
          </mc:Fallback>
        </mc:AlternateContent>
      </w:r>
      <w:r>
        <w:rPr>
          <w:b/>
          <w:bCs w:val="0"/>
          <w:i w:val="0"/>
        </w:rPr>
      </w:r>
      <w:r>
        <w:rPr>
          <w:b/>
          <w:bCs w:val="0"/>
          <w:i w:val="0"/>
          <w:highlight w:val="none"/>
          <w:lang w:val="pt-BR"/>
        </w:rPr>
      </w:r>
    </w:p>
    <w:p>
      <w:pPr>
        <w:pBdr/>
        <w:spacing w:after="200" w:line="276" w:lineRule="auto"/>
        <w:ind/>
        <w:jc w:val="center"/>
        <w:rPr>
          <w:b/>
          <w:bCs w:val="0"/>
          <w:i w:val="0"/>
        </w:rPr>
      </w:pPr>
      <w:r>
        <w:rPr>
          <w:b/>
          <w:i w:val="0"/>
          <w:iCs w:val="0"/>
          <w:highlight w:val="none"/>
          <w:lang w:val="pt-BR"/>
        </w:rPr>
      </w:r>
      <w:r>
        <mc:AlternateContent>
          <mc:Choice Requires="wpg">
            <w:drawing>
              <wp:inline xmlns:wp="http://schemas.openxmlformats.org/drawingml/2006/wordprocessingDrawing" distT="0" distB="0" distL="0" distR="0">
                <wp:extent cx="5958039" cy="858666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24180" name=""/>
                        <pic:cNvPicPr>
                          <a:picLocks noChangeAspect="1"/>
                        </pic:cNvPicPr>
                        <pic:nvPr/>
                      </pic:nvPicPr>
                      <pic:blipFill rotWithShape="1">
                        <a:blip r:embed="rId40"/>
                        <a:srcRect l="0" t="16829" r="0" b="16515"/>
                        <a:stretch/>
                      </pic:blipFill>
                      <pic:spPr bwMode="auto">
                        <a:xfrm flipH="0" flipV="0">
                          <a:off x="0" y="0"/>
                          <a:ext cx="5958038" cy="8586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69.14pt;height:676.11pt;mso-wrap-distance-left:0.00pt;mso-wrap-distance-top:0.00pt;mso-wrap-distance-right:0.00pt;mso-wrap-distance-bottom:0.00pt;z-index:1;" stroked="false">
                <v:imagedata r:id="rId40" o:title="" croptop="11029f" cropleft="0f" cropbottom="10823f" cropright="0f"/>
                <o:lock v:ext="edit" rotation="t"/>
              </v:shape>
            </w:pict>
          </mc:Fallback>
        </mc:AlternateContent>
      </w:r>
      <w:r>
        <w:rPr>
          <w:b/>
          <w:i w:val="0"/>
          <w:iCs w:val="0"/>
          <w:highlight w:val="none"/>
          <w:lang w:val="pt-BR"/>
        </w:rPr>
      </w:r>
      <w:r>
        <w:rPr>
          <w:b/>
          <w:bCs w:val="0"/>
          <w:i w:val="0"/>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12BA91F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F05BAE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customStyle="1">
    <w:name w:val="Unresolved Mention5"/>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gif"/><Relationship Id="rId18" Type="http://schemas.openxmlformats.org/officeDocument/2006/relationships/image" Target="media/image4.gif"/><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819</cp:revision>
  <dcterms:created xsi:type="dcterms:W3CDTF">2025-05-28T23:19:00Z</dcterms:created>
  <dcterms:modified xsi:type="dcterms:W3CDTF">2026-07-24T08:01:00Z</dcterms:modified>
</cp:coreProperties>
</file>