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bCs/>
          <w:sz w:val="28"/>
          <w:szCs w:val="28"/>
        </w:rPr>
      </w:pPr>
      <w:r>
        <w:rPr>
          <w:b/>
          <w:sz w:val="28"/>
        </w:rPr>
      </w:r>
      <w:r>
        <w:rPr>
          <w:b/>
          <w:bCs/>
          <w:sz w:val="28"/>
          <w:szCs w:val="28"/>
        </w:rPr>
      </w:r>
      <w:r>
        <w:rPr>
          <w:b/>
          <w:bCs/>
          <w:sz w:val="28"/>
          <w:szCs w:val="28"/>
        </w:rPr>
      </w:r>
    </w:p>
    <w:p>
      <w:pPr>
        <w:pBdr/>
        <w:spacing/>
        <w:ind w:right="-1"/>
        <w:jc w:val="center"/>
        <w:rPr>
          <w:b/>
          <w:bCs/>
          <w:sz w:val="28"/>
          <w:szCs w:val="28"/>
        </w:rPr>
      </w:pPr>
      <w:r>
        <w:rPr>
          <w:b/>
          <w:bCs/>
          <w:sz w:val="28"/>
          <w:szCs w:val="28"/>
        </w:rPr>
      </w:r>
      <w:r>
        <w:rPr>
          <w:b/>
          <w:bCs/>
          <w:sz w:val="28"/>
          <w:szCs w:val="28"/>
        </w:rPr>
      </w:r>
      <w:r>
        <w:rPr>
          <w:b/>
          <w:bCs/>
          <w:sz w:val="28"/>
          <w:szCs w:val="28"/>
        </w:rPr>
      </w:r>
    </w:p>
    <w:p>
      <w:pPr>
        <w:pBdr/>
        <w:spacing/>
        <w:ind w:right="-1"/>
        <w:jc w:val="center"/>
        <w:rPr>
          <w:b/>
          <w:bCs/>
          <w:sz w:val="28"/>
          <w:szCs w:val="28"/>
        </w:rPr>
      </w:pPr>
      <w:r>
        <w:rPr>
          <w:b/>
          <w:bCs/>
          <w:sz w:val="28"/>
          <w:szCs w:val="28"/>
        </w:rPr>
      </w:r>
      <w:r>
        <w:rPr>
          <w:b/>
          <w:bCs/>
          <w:sz w:val="28"/>
          <w:szCs w:val="28"/>
        </w:rPr>
      </w:r>
      <w:r>
        <w:rPr>
          <w:b/>
          <w:bCs/>
          <w:sz w:val="28"/>
          <w:szCs w:val="28"/>
        </w:rPr>
      </w:r>
    </w:p>
    <w:p>
      <w:pPr>
        <w:pBdr/>
        <w:spacing/>
        <w:ind w:right="-1"/>
        <w:jc w:val="center"/>
        <w:rPr>
          <w:b/>
          <w:bCs/>
          <w:sz w:val="28"/>
          <w:szCs w:val="28"/>
        </w:rPr>
      </w:pPr>
      <w:r>
        <w:rPr>
          <w:b/>
          <w:sz w:val="28"/>
        </w:rPr>
      </w:r>
      <w:r>
        <w:rPr>
          <w:b/>
          <w:bCs/>
          <w:sz w:val="28"/>
          <w:szCs w:val="28"/>
        </w:rPr>
      </w:r>
      <w:r>
        <w:rPr>
          <w:b/>
          <w:bCs/>
          <w:sz w:val="28"/>
          <w:szCs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200499</wp:posOffset>
                </wp:positionV>
                <wp:extent cx="5718810" cy="5535993"/>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5535992"/>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Số: 275/2026/0688/VFI-CT.44.A</w:t>
                            </w:r>
                            <w:r>
                              <w:rPr>
                                <w:b/>
                              </w:rPr>
                              <w:t xml:space="preserve"> </w:t>
                            </w:r>
                            <w:r>
                              <w:rPr>
                                <w:rFonts w:ascii="Times New Roman" w:hAnsi="Times New Roman" w:eastAsia="Times New Roman" w:cs="Times New Roman"/>
                                <w:sz w:val="24"/>
                              </w:rPr>
                            </w:r>
                            <w:r/>
                          </w:p>
                          <w:p>
                            <w:pPr>
                              <w:pBdr>
                                <w:top w:val="none" w:color="000000" w:sz="4" w:space="0"/>
                                <w:left w:val="none" w:color="000000" w:sz="4" w:space="0"/>
                                <w:bottom w:val="none" w:color="000000" w:sz="4" w:space="0"/>
                                <w:right w:val="none" w:color="000000" w:sz="4" w:space="0"/>
                              </w:pBdr>
                              <w:tabs>
                                <w:tab w:val="left" w:leader="none" w:pos="3002"/>
                              </w:tabs>
                              <w:spacing w:after="120" w:before="120" w:line="276" w:lineRule="auto"/>
                              <w:ind w:right="0" w:firstLine="0" w:left="0"/>
                              <w:jc w:val="center"/>
                              <w:rPr/>
                            </w:pPr>
                            <w:r>
                              <w:rPr>
                                <w:rFonts w:ascii="Times New Roman" w:hAnsi="Times New Roman" w:eastAsia="Times New Roman" w:cs="Times New Roman"/>
                                <w:b/>
                                <w:color w:val="000000"/>
                                <w:sz w:val="24"/>
                              </w:rPr>
                              <w:t xml:space="preserve">Khách hàng yêu cầu: Công ty Cổ phần Xây dựng và Phát triển Nam Thăng Long</w:t>
                            </w:r>
                            <w:r/>
                          </w:p>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4"/>
                              </w:rPr>
                              <w:t xml:space="preserve">Tài sản thẩm định:</w:t>
                            </w: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b/>
                                <w:i/>
                                <w:iCs/>
                                <w:color w:val="000000"/>
                                <w:sz w:val="24"/>
                              </w:rPr>
                              <w:t xml:space="preserve">Tài sản 01:</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pacing w:val="3"/>
                                <w:sz w:val="24"/>
                                <w:highlight w:val="white"/>
                              </w:rPr>
                              <w:t xml:space="preserve">Quyền sử dụng đất tại thửa đất số: OM.07-10, tờ bản đồ số: Quy hoạch phân lô, địa chỉ: Thị trấn Thường Tín, huyện Thường Tín (</w:t>
                            </w:r>
                            <w:r>
                              <w:rPr>
                                <w:rFonts w:ascii="Times New Roman" w:hAnsi="Times New Roman" w:eastAsia="Times New Roman" w:cs="Times New Roman"/>
                                <w:i/>
                                <w:color w:val="000000"/>
                                <w:spacing w:val="3"/>
                                <w:sz w:val="24"/>
                                <w:highlight w:val="white"/>
                              </w:rPr>
                              <w:t xml:space="preserve">nay là xã Thường Tín)</w:t>
                            </w:r>
                            <w:r>
                              <w:rPr>
                                <w:rFonts w:ascii="Times New Roman" w:hAnsi="Times New Roman" w:eastAsia="Times New Roman" w:cs="Times New Roman"/>
                                <w:color w:val="000000"/>
                                <w:spacing w:val="3"/>
                                <w:sz w:val="24"/>
                                <w:highlight w:val="white"/>
                              </w:rPr>
                              <w:t xml:space="preserve">, </w:t>
                            </w:r>
                            <w:r>
                              <w:rPr>
                                <w:rFonts w:ascii="Times New Roman" w:hAnsi="Times New Roman" w:eastAsia="Times New Roman" w:cs="Times New Roman"/>
                                <w:color w:val="000000"/>
                                <w:spacing w:val="3"/>
                                <w:sz w:val="24"/>
                                <w:highlight w:val="white"/>
                              </w:rPr>
                              <w:t xml:space="preserve">Thành phố Hà Nội theo Giấy chứng nhận quyền sử dụng đất, quyền sở hữu nhà ở và tài sản khác gắn liền với đất số: CQ 262418, số vào sổ cấp GCN: CH 00484 do UBND huyện Thường Tín cấp ngày 13/3/2019; Chủ sử dụng đất là Ông Nguyễn Hùng Quyền và Bà Nguyễn Thị T</w:t>
                            </w:r>
                            <w:r>
                              <w:rPr>
                                <w:rFonts w:ascii="Times New Roman" w:hAnsi="Times New Roman" w:eastAsia="Times New Roman" w:cs="Times New Roman"/>
                                <w:color w:val="000000"/>
                                <w:spacing w:val="3"/>
                                <w:sz w:val="24"/>
                                <w:highlight w:val="white"/>
                              </w:rPr>
                              <w:t xml:space="preserve">hủy;</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iCs/>
                                <w:color w:val="000000"/>
                                <w:spacing w:val="3"/>
                                <w:sz w:val="24"/>
                                <w:highlight w:val="white"/>
                              </w:rPr>
                              <w:t xml:space="preserve">Tài sản 02:</w:t>
                            </w:r>
                            <w:r>
                              <w:rPr>
                                <w:rFonts w:ascii="Times New Roman" w:hAnsi="Times New Roman" w:eastAsia="Times New Roman" w:cs="Times New Roman"/>
                                <w:color w:val="000000"/>
                                <w:spacing w:val="3"/>
                                <w:sz w:val="24"/>
                                <w:highlight w:val="white"/>
                              </w:rPr>
                              <w:t xml:space="preserve"> Quyền sử dụng đất tại thửa đất số: OM.07-11, tờ bản đồ số: Quy hoạch phân lô, địa chỉ: Thị trấn Thường Tín, huyện Thường Tín (</w:t>
                            </w:r>
                            <w:r>
                              <w:rPr>
                                <w:rFonts w:ascii="Times New Roman" w:hAnsi="Times New Roman" w:eastAsia="Times New Roman" w:cs="Times New Roman"/>
                                <w:i/>
                                <w:color w:val="000000"/>
                                <w:spacing w:val="3"/>
                                <w:sz w:val="24"/>
                                <w:highlight w:val="white"/>
                              </w:rPr>
                              <w:t xml:space="preserve">nay là xã Thường Tín)</w:t>
                            </w:r>
                            <w:r>
                              <w:rPr>
                                <w:rFonts w:ascii="Times New Roman" w:hAnsi="Times New Roman" w:eastAsia="Times New Roman" w:cs="Times New Roman"/>
                                <w:color w:val="000000"/>
                                <w:spacing w:val="3"/>
                                <w:sz w:val="24"/>
                                <w:highlight w:val="white"/>
                              </w:rPr>
                              <w:t xml:space="preserve">, </w:t>
                            </w:r>
                            <w:r>
                              <w:rPr>
                                <w:rFonts w:ascii="Times New Roman" w:hAnsi="Times New Roman" w:eastAsia="Times New Roman" w:cs="Times New Roman"/>
                                <w:color w:val="000000"/>
                                <w:spacing w:val="3"/>
                                <w:sz w:val="24"/>
                                <w:highlight w:val="white"/>
                              </w:rPr>
                              <w:t xml:space="preserve">Thành phố Hà Nội theo Giấy chứng nhận quyền sử dụng đất, quyền sở hữu nhà ở và tài sản khác gắn liền với đất số: CQ 262419, số vào sổ cấp GCN: CH 00483 do UBND huyện Thường Tín cấp ngày 13/3/2019; Chủ sử dụng đất là Ông Nguyễn Hùng Quyền và Bà Nguyễn Thị T</w:t>
                            </w:r>
                            <w:r>
                              <w:rPr>
                                <w:rFonts w:ascii="Times New Roman" w:hAnsi="Times New Roman" w:eastAsia="Times New Roman" w:cs="Times New Roman"/>
                                <w:color w:val="000000"/>
                                <w:spacing w:val="3"/>
                                <w:sz w:val="24"/>
                                <w:highlight w:val="white"/>
                              </w:rPr>
                              <w:t xml:space="preserve">hủy</w:t>
                            </w:r>
                            <w:r>
                              <w:rPr>
                                <w:rFonts w:ascii="Times New Roman" w:hAnsi="Times New Roman" w:eastAsia="Times New Roman" w:cs="Times New Roman"/>
                                <w:color w:val="000000"/>
                                <w:spacing w:val="3"/>
                                <w:sz w:val="24"/>
                                <w:highlight w:val="none"/>
                              </w:rPr>
                              <w:t xml:space="preserve">.</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5/2026</w:t>
                            </w:r>
                            <w:r>
                              <w:rPr>
                                <w:lang w:val="pt-BR"/>
                              </w:rPr>
                              <w:t xml:space="preserve">.</w:t>
                            </w:r>
                            <w:r>
                              <w:rPr>
                                <w:rFonts w:ascii="Times New Roman" w:hAnsi="Times New Roman" w:eastAsia="Times New Roman" w:cs="Times New Roman"/>
                                <w:sz w:val="24"/>
                              </w:rPr>
                            </w: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15.79pt;mso-position-vertical:absolute;width:450.30pt;height:435.9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Số: 275/2026/0688/VFI-CT.44.A</w:t>
                      </w:r>
                      <w:r>
                        <w:rPr>
                          <w:b/>
                        </w:rPr>
                        <w:t xml:space="preserve"> </w:t>
                      </w:r>
                      <w:r>
                        <w:rPr>
                          <w:rFonts w:ascii="Times New Roman" w:hAnsi="Times New Roman" w:eastAsia="Times New Roman" w:cs="Times New Roman"/>
                          <w:sz w:val="24"/>
                        </w:rPr>
                      </w:r>
                      <w:r/>
                    </w:p>
                    <w:p>
                      <w:pPr>
                        <w:pBdr>
                          <w:top w:val="none" w:color="000000" w:sz="4" w:space="0"/>
                          <w:left w:val="none" w:color="000000" w:sz="4" w:space="0"/>
                          <w:bottom w:val="none" w:color="000000" w:sz="4" w:space="0"/>
                          <w:right w:val="none" w:color="000000" w:sz="4" w:space="0"/>
                        </w:pBdr>
                        <w:tabs>
                          <w:tab w:val="left" w:leader="none" w:pos="3002"/>
                        </w:tabs>
                        <w:spacing w:after="120" w:before="120" w:line="276" w:lineRule="auto"/>
                        <w:ind w:right="0" w:firstLine="0" w:left="0"/>
                        <w:jc w:val="center"/>
                        <w:rPr/>
                      </w:pPr>
                      <w:r>
                        <w:rPr>
                          <w:rFonts w:ascii="Times New Roman" w:hAnsi="Times New Roman" w:eastAsia="Times New Roman" w:cs="Times New Roman"/>
                          <w:b/>
                          <w:color w:val="000000"/>
                          <w:sz w:val="24"/>
                        </w:rPr>
                        <w:t xml:space="preserve">Khách hàng yêu cầu: Công ty Cổ phần Xây dựng và Phát triển Nam Thăng Long</w:t>
                      </w:r>
                      <w:r/>
                    </w:p>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4"/>
                        </w:rPr>
                        <w:t xml:space="preserve">Tài sản thẩm định:</w:t>
                      </w: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b/>
                          <w:i/>
                          <w:iCs/>
                          <w:color w:val="000000"/>
                          <w:sz w:val="24"/>
                        </w:rPr>
                        <w:t xml:space="preserve">Tài sản 01:</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pacing w:val="3"/>
                          <w:sz w:val="24"/>
                          <w:highlight w:val="white"/>
                        </w:rPr>
                        <w:t xml:space="preserve">Quyền sử dụng đất tại thửa đất số: OM.07-10, tờ bản đồ số: Quy hoạch phân lô, địa chỉ: Thị trấn Thường Tín, huyện Thường Tín (</w:t>
                      </w:r>
                      <w:r>
                        <w:rPr>
                          <w:rFonts w:ascii="Times New Roman" w:hAnsi="Times New Roman" w:eastAsia="Times New Roman" w:cs="Times New Roman"/>
                          <w:i/>
                          <w:color w:val="000000"/>
                          <w:spacing w:val="3"/>
                          <w:sz w:val="24"/>
                          <w:highlight w:val="white"/>
                        </w:rPr>
                        <w:t xml:space="preserve">nay là xã Thường Tín)</w:t>
                      </w:r>
                      <w:r>
                        <w:rPr>
                          <w:rFonts w:ascii="Times New Roman" w:hAnsi="Times New Roman" w:eastAsia="Times New Roman" w:cs="Times New Roman"/>
                          <w:color w:val="000000"/>
                          <w:spacing w:val="3"/>
                          <w:sz w:val="24"/>
                          <w:highlight w:val="white"/>
                        </w:rPr>
                        <w:t xml:space="preserve">, </w:t>
                      </w:r>
                      <w:r>
                        <w:rPr>
                          <w:rFonts w:ascii="Times New Roman" w:hAnsi="Times New Roman" w:eastAsia="Times New Roman" w:cs="Times New Roman"/>
                          <w:color w:val="000000"/>
                          <w:spacing w:val="3"/>
                          <w:sz w:val="24"/>
                          <w:highlight w:val="white"/>
                        </w:rPr>
                        <w:t xml:space="preserve">Thành phố Hà Nội theo Giấy chứng nhận quyền sử dụng đất, quyền sở hữu nhà ở và tài sản khác gắn liền với đất số: CQ 262418, số vào sổ cấp GCN: CH 00484 do UBND huyện Thường Tín cấp ngày 13/3/2019; Chủ sử dụng đất là Ông Nguyễn Hùng Quyền và Bà Nguyễn Thị T</w:t>
                      </w:r>
                      <w:r>
                        <w:rPr>
                          <w:rFonts w:ascii="Times New Roman" w:hAnsi="Times New Roman" w:eastAsia="Times New Roman" w:cs="Times New Roman"/>
                          <w:color w:val="000000"/>
                          <w:spacing w:val="3"/>
                          <w:sz w:val="24"/>
                          <w:highlight w:val="white"/>
                        </w:rPr>
                        <w:t xml:space="preserve">hủy;</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iCs/>
                          <w:color w:val="000000"/>
                          <w:spacing w:val="3"/>
                          <w:sz w:val="24"/>
                          <w:highlight w:val="white"/>
                        </w:rPr>
                        <w:t xml:space="preserve">Tài sản 02:</w:t>
                      </w:r>
                      <w:r>
                        <w:rPr>
                          <w:rFonts w:ascii="Times New Roman" w:hAnsi="Times New Roman" w:eastAsia="Times New Roman" w:cs="Times New Roman"/>
                          <w:color w:val="000000"/>
                          <w:spacing w:val="3"/>
                          <w:sz w:val="24"/>
                          <w:highlight w:val="white"/>
                        </w:rPr>
                        <w:t xml:space="preserve"> Quyền sử dụng đất tại thửa đất số: OM.07-11, tờ bản đồ số: Quy hoạch phân lô, địa chỉ: Thị trấn Thường Tín, huyện Thường Tín (</w:t>
                      </w:r>
                      <w:r>
                        <w:rPr>
                          <w:rFonts w:ascii="Times New Roman" w:hAnsi="Times New Roman" w:eastAsia="Times New Roman" w:cs="Times New Roman"/>
                          <w:i/>
                          <w:color w:val="000000"/>
                          <w:spacing w:val="3"/>
                          <w:sz w:val="24"/>
                          <w:highlight w:val="white"/>
                        </w:rPr>
                        <w:t xml:space="preserve">nay là xã Thường Tín)</w:t>
                      </w:r>
                      <w:r>
                        <w:rPr>
                          <w:rFonts w:ascii="Times New Roman" w:hAnsi="Times New Roman" w:eastAsia="Times New Roman" w:cs="Times New Roman"/>
                          <w:color w:val="000000"/>
                          <w:spacing w:val="3"/>
                          <w:sz w:val="24"/>
                          <w:highlight w:val="white"/>
                        </w:rPr>
                        <w:t xml:space="preserve">, </w:t>
                      </w:r>
                      <w:r>
                        <w:rPr>
                          <w:rFonts w:ascii="Times New Roman" w:hAnsi="Times New Roman" w:eastAsia="Times New Roman" w:cs="Times New Roman"/>
                          <w:color w:val="000000"/>
                          <w:spacing w:val="3"/>
                          <w:sz w:val="24"/>
                          <w:highlight w:val="white"/>
                        </w:rPr>
                        <w:t xml:space="preserve">Thành phố Hà Nội theo Giấy chứng nhận quyền sử dụng đất, quyền sở hữu nhà ở và tài sản khác gắn liền với đất số: CQ 262419, số vào sổ cấp GCN: CH 00483 do UBND huyện Thường Tín cấp ngày 13/3/2019; Chủ sử dụng đất là Ông Nguyễn Hùng Quyền và Bà Nguyễn Thị T</w:t>
                      </w:r>
                      <w:r>
                        <w:rPr>
                          <w:rFonts w:ascii="Times New Roman" w:hAnsi="Times New Roman" w:eastAsia="Times New Roman" w:cs="Times New Roman"/>
                          <w:color w:val="000000"/>
                          <w:spacing w:val="3"/>
                          <w:sz w:val="24"/>
                          <w:highlight w:val="white"/>
                        </w:rPr>
                        <w:t xml:space="preserve">hủy</w:t>
                      </w:r>
                      <w:r>
                        <w:rPr>
                          <w:rFonts w:ascii="Times New Roman" w:hAnsi="Times New Roman" w:eastAsia="Times New Roman" w:cs="Times New Roman"/>
                          <w:color w:val="000000"/>
                          <w:spacing w:val="3"/>
                          <w:sz w:val="24"/>
                          <w:highlight w:val="none"/>
                        </w:rPr>
                        <w:t xml:space="preserve">.</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5/2026</w:t>
                      </w:r>
                      <w:r>
                        <w:rPr>
                          <w:lang w:val="pt-BR"/>
                        </w:rPr>
                        <w:t xml:space="preserve">.</w:t>
                      </w:r>
                      <w:r>
                        <w:rPr>
                          <w:rFonts w:ascii="Times New Roman" w:hAnsi="Times New Roman" w:eastAsia="Times New Roman" w:cs="Times New Roman"/>
                          <w:sz w:val="24"/>
                        </w:rPr>
                      </w: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MỤC LỤC</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bl>
      <w:tblPr>
        <w:tblStyle w:val="1049"/>
        <w:tblInd w:w="93" w:type="dxa"/>
        <w:tblW w:w="0" w:type="auto"/>
        <w:tblCellMar>
          <w:left w:w="10" w:type="dxa"/>
          <w:top w:w="0" w:type="dxa"/>
          <w:right w:w="1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280"/>
        <w:gridCol w:w="1520"/>
      </w:tblGrid>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u w:val="single"/>
              </w:rPr>
              <w:t xml:space="preserve">NỘI DUNG</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u w:val="single"/>
              </w:rPr>
              <w:t xml:space="preserve">TRANG</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 </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Chứng thư thẩm định giá</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1-5</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Báo cáo thẩm định giá</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6-24</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Các phụ lục chi tiết kèm theo</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color w:val="000000"/>
                <w:sz w:val="24"/>
              </w:rPr>
              <w:t xml:space="preserve"> </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highlight w:val="yellow"/>
              </w:rPr>
            </w:pPr>
            <w:r>
              <w:rPr>
                <w:rFonts w:ascii="Times New Roman" w:hAnsi="Times New Roman" w:eastAsia="Times New Roman" w:cs="Times New Roman"/>
                <w:color w:val="000000"/>
                <w:sz w:val="24"/>
                <w:highlight w:val="yellow"/>
              </w:rPr>
              <w:t xml:space="preserve">Phụ lục 1: Thông tin hiện trạng + Pháp lý +BBKS</w:t>
            </w:r>
            <w:r>
              <w:rPr>
                <w:highlight w:val="yellow"/>
              </w:rPr>
            </w:r>
            <w:r>
              <w:rPr>
                <w:highlight w:val="yellow"/>
              </w:rP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highlight w:val="yellow"/>
              </w:rPr>
            </w:pPr>
            <w:r>
              <w:rPr>
                <w:rFonts w:ascii="Times New Roman" w:hAnsi="Times New Roman" w:eastAsia="Times New Roman" w:cs="Times New Roman"/>
                <w:b/>
                <w:color w:val="000000"/>
                <w:sz w:val="24"/>
                <w:highlight w:val="yellow"/>
              </w:rPr>
              <w:t xml:space="preserve">25-31</w:t>
            </w:r>
            <w:r>
              <w:rPr>
                <w:highlight w:val="yellow"/>
              </w:rPr>
            </w:r>
            <w:r>
              <w:rPr>
                <w:highlight w:val="yellow"/>
              </w:rP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highlight w:val="yellow"/>
              </w:rPr>
            </w:pPr>
            <w:r>
              <w:rPr>
                <w:rFonts w:ascii="Times New Roman" w:hAnsi="Times New Roman" w:eastAsia="Times New Roman" w:cs="Times New Roman"/>
                <w:color w:val="000000"/>
                <w:sz w:val="24"/>
                <w:highlight w:val="yellow"/>
              </w:rPr>
              <w:t xml:space="preserve">Phụ lục 2: Thông tin thu thập thị trường </w:t>
            </w:r>
            <w:r>
              <w:rPr>
                <w:highlight w:val="yellow"/>
              </w:rPr>
            </w:r>
            <w:r>
              <w:rPr>
                <w:highlight w:val="yellow"/>
              </w:rP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highlight w:val="yellow"/>
              </w:rPr>
            </w:pPr>
            <w:r>
              <w:rPr>
                <w:rFonts w:ascii="Times New Roman" w:hAnsi="Times New Roman" w:eastAsia="Times New Roman" w:cs="Times New Roman"/>
                <w:b/>
                <w:color w:val="000000"/>
                <w:sz w:val="24"/>
                <w:highlight w:val="yellow"/>
              </w:rPr>
              <w:t xml:space="preserve">32-38</w:t>
            </w:r>
            <w:r>
              <w:rPr>
                <w:highlight w:val="yellow"/>
              </w:rPr>
            </w:r>
            <w:r>
              <w:rPr>
                <w:highlight w:val="yellow"/>
              </w:rPr>
            </w:r>
          </w:p>
        </w:tc>
      </w:tr>
    </w:tbl>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 </w:t>
      </w:r>
      <w:r/>
    </w:p>
    <w:tbl>
      <w:tblPr>
        <w:tblStyle w:val="1049"/>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58"/>
        <w:gridCol w:w="2138"/>
        <w:gridCol w:w="5536"/>
        <w:gridCol w:w="567"/>
      </w:tblGrid>
      <w:tr>
        <w:trPr>
          <w:trHeight w:val="1152"/>
        </w:trPr>
        <w:tc>
          <w:tcPr>
            <w:tcBorders/>
            <w:tcMar>
              <w:left w:w="108" w:type="dxa"/>
              <w:top w:w="0" w:type="dxa"/>
              <w:right w:w="108" w:type="dxa"/>
              <w:bottom w:w="0" w:type="dxa"/>
            </w:tcMar>
            <w:tcW w:w="1858" w:type="dxa"/>
            <w:vAlign w:val="top"/>
            <w:textDirection w:val="lrTb"/>
            <w:noWrap w:val="false"/>
          </w:tcPr>
          <w:p>
            <w:pPr>
              <w:pBdr/>
              <w:spacing/>
              <w:ind/>
              <w:rPr>
                <w:rFonts w:ascii="Times New Roman" w:hAnsi="Times New Roman" w:eastAsia="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spacing/>
              <w:ind/>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r>
            <w:r>
              <mc:AlternateContent>
                <mc:Choice Requires="wpg">
                  <w:drawing>
                    <wp:inline xmlns:wp="http://schemas.openxmlformats.org/drawingml/2006/wordprocessingDrawing" distT="0" distB="0" distL="0" distR="0">
                      <wp:extent cx="1019175" cy="923925"/>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827014" name=""/>
                              <pic:cNvPicPr>
                                <a:picLocks noChangeAspect="1"/>
                              </pic:cNvPicPr>
                              <pic:nvPr/>
                            </pic:nvPicPr>
                            <pic:blipFill rotWithShape="1">
                              <a:blip r:embed="rId13"/>
                              <a:stretch/>
                            </pic:blipFill>
                            <pic:spPr bwMode="auto">
                              <a:xfrm>
                                <a:off x="0" y="0"/>
                                <a:ext cx="1019174" cy="923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25pt;height:72.75pt;mso-wrap-distance-left:0.00pt;mso-wrap-distance-top:0.00pt;mso-wrap-distance-right:0.00pt;mso-wrap-distance-bottom:0.00pt;z-index:1;" stroked="false">
                      <v:imagedata r:id="rId13" o:title=""/>
                      <o:lock v:ext="edit" rotation="t"/>
                    </v:shape>
                  </w:pict>
                </mc:Fallback>
              </mc:AlternateConten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c>
          <w:tcPr>
            <w:gridSpan w:val="3"/>
            <w:tcBorders/>
            <w:tcMar>
              <w:left w:w="108" w:type="dxa"/>
              <w:top w:w="0" w:type="dxa"/>
              <w:right w:w="108" w:type="dxa"/>
              <w:bottom w:w="0" w:type="dxa"/>
            </w:tcMar>
            <w:tcW w:w="8241"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Trụ sở: BT5 - 23, Khu đô thị mới Văn Phú, Phường Kiến Hưng, Thành phố Hà Nội</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Email: </w:t>
              <w:tab/>
            </w:r>
            <w:hyperlink r:id="rId14" w:tooltip="mailto:ilotus.contact@gmail.com" w:history="1">
              <w:r>
                <w:rPr>
                  <w:rStyle w:val="1035"/>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gridAfter w:val="1"/>
          <w:trHeight w:val="482"/>
        </w:trPr>
        <w:tc>
          <w:tcPr>
            <w:gridSpan w:val="2"/>
            <w:tcBorders/>
            <w:tcMar>
              <w:left w:w="108" w:type="dxa"/>
              <w:top w:w="0" w:type="dxa"/>
              <w:right w:w="108" w:type="dxa"/>
              <w:bottom w:w="0" w:type="dxa"/>
            </w:tcMar>
            <w:tcW w:w="3996"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4"/>
              </w:rPr>
              <w:t xml:space="preserve">Số: 275/2026/0688/VFI-CT.44.A</w:t>
            </w:r>
            <w:r/>
          </w:p>
        </w:tc>
        <w:tc>
          <w:tcPr>
            <w:tcBorders/>
            <w:tcMar>
              <w:left w:w="108" w:type="dxa"/>
              <w:top w:w="0" w:type="dxa"/>
              <w:right w:w="108" w:type="dxa"/>
              <w:bottom w:w="0" w:type="dxa"/>
            </w:tcMar>
            <w:tcW w:w="5536"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right"/>
              <w:rPr/>
            </w:pPr>
            <w:r>
              <w:rPr>
                <w:rFonts w:ascii="Times New Roman" w:hAnsi="Times New Roman" w:eastAsia="Times New Roman" w:cs="Times New Roman"/>
                <w:i/>
                <w:color w:val="000000"/>
                <w:sz w:val="24"/>
              </w:rPr>
              <w:t xml:space="preserve">TP. Hà Nội, ngày 06 tháng 5 năm 2026</w:t>
            </w:r>
            <w:r/>
          </w:p>
        </w:tc>
      </w:tr>
      <w:tr>
        <w:trPr/>
        <w:tc>
          <w:tcPr>
            <w:tcBorders/>
            <w:tcMar>
              <w:left w:w="0" w:type="dxa"/>
              <w:top w:w="0" w:type="dxa"/>
              <w:right w:w="0" w:type="dxa"/>
              <w:bottom w:w="0" w:type="dxa"/>
            </w:tcMar>
            <w:tcW w:w="1858"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2138"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5536"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567"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spacing w:after="120" w:before="200" w:line="288" w:lineRule="auto"/>
        <w:ind w:right="0" w:firstLine="0" w:left="0"/>
        <w:jc w:val="center"/>
        <w:rPr/>
      </w:pPr>
      <w:r>
        <w:rPr>
          <w:rFonts w:ascii="Times New Roman" w:hAnsi="Times New Roman" w:eastAsia="Times New Roman" w:cs="Times New Roman"/>
          <w:b/>
          <w:color w:val="000000"/>
          <w:sz w:val="30"/>
        </w:rPr>
        <w:t xml:space="preserve">CHỨNG THƯ THẨM ĐỊNH GIÁ</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b/>
          <w:bCs/>
          <w:color w:val="ff0000"/>
        </w:rPr>
      </w:pPr>
      <w:r>
        <w:rPr>
          <w:rFonts w:ascii="Times New Roman" w:hAnsi="Times New Roman" w:eastAsia="Times New Roman" w:cs="Times New Roman"/>
          <w:b/>
          <w:color w:val="000000"/>
          <w:sz w:val="24"/>
          <w:u w:val="single"/>
        </w:rPr>
        <w:t xml:space="preserve">Kính gửi</w:t>
      </w:r>
      <w:r>
        <w:rPr>
          <w:rFonts w:ascii="Times New Roman" w:hAnsi="Times New Roman" w:eastAsia="Times New Roman" w:cs="Times New Roman"/>
          <w:b/>
          <w:color w:val="000000"/>
          <w:sz w:val="24"/>
        </w:rPr>
        <w:t xml:space="preserve">: </w:t>
      </w:r>
      <w:r>
        <w:rPr>
          <w:rFonts w:ascii="Times New Roman" w:hAnsi="Times New Roman" w:eastAsia="Times New Roman" w:cs="Times New Roman"/>
          <w:b/>
          <w:bCs/>
          <w:color w:val="ff0000"/>
          <w:spacing w:val="-4"/>
          <w:sz w:val="24"/>
        </w:rPr>
        <w:t xml:space="preserve">Công ty Cổ phần Xây dựng và Phát triển Nam Thăng Long</w:t>
      </w:r>
      <w:r>
        <w:rPr>
          <w:b/>
          <w:bCs/>
          <w:color w:val="ff0000"/>
        </w:rPr>
      </w:r>
      <w:r>
        <w:rPr>
          <w:b/>
          <w:bCs/>
          <w:color w:val="ff0000"/>
        </w:rPr>
      </w:r>
    </w:p>
    <w:p>
      <w:pPr>
        <w:pBdr>
          <w:top w:val="none" w:color="000000" w:sz="4" w:space="0"/>
          <w:left w:val="none" w:color="000000" w:sz="4" w:space="0"/>
          <w:bottom w:val="none" w:color="000000" w:sz="4" w:space="0"/>
          <w:right w:val="none" w:color="000000" w:sz="4" w:space="0"/>
        </w:pBdr>
        <w:tabs>
          <w:tab w:val="left" w:leader="none" w:pos="450"/>
        </w:tabs>
        <w:spacing w:after="120" w:before="120" w:line="288" w:lineRule="auto"/>
        <w:ind w:right="0" w:firstLine="0" w:left="-72"/>
        <w:jc w:val="both"/>
        <w:rPr/>
      </w:pPr>
      <w:r>
        <w:rPr>
          <w:rFonts w:ascii="Times New Roman" w:hAnsi="Times New Roman" w:eastAsia="Times New Roman" w:cs="Times New Roman"/>
          <w:color w:val="000000"/>
          <w:spacing w:val="-4"/>
          <w:sz w:val="24"/>
        </w:rPr>
        <w:tab/>
        <w:t xml:space="preserve">Căn cứ Hợp đồng dịch vụ thẩm định giá số: 275/2026/0688/VFI-HĐTĐ.44.A ký ngày 06 tháng 5 năm 2026 giữa Công ty Cổ phần Xây dựng và Phát triển Nam Thăng Long </w:t>
      </w:r>
      <w:r>
        <w:rPr>
          <w:rFonts w:ascii="Times New Roman" w:hAnsi="Times New Roman" w:eastAsia="Times New Roman" w:cs="Times New Roman"/>
          <w:color w:val="000000"/>
          <w:spacing w:val="-6"/>
          <w:sz w:val="24"/>
        </w:rPr>
        <w:t xml:space="preserve">với </w:t>
      </w:r>
      <w:r>
        <w:rPr>
          <w:rFonts w:ascii="Times New Roman" w:hAnsi="Times New Roman" w:eastAsia="Times New Roman" w:cs="Times New Roman"/>
          <w:color w:val="000000"/>
          <w:spacing w:val="-4"/>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pacing w:val="-2"/>
          <w:sz w:val="24"/>
        </w:rPr>
        <w:t xml:space="preserve">Căn cứ Báo cáo thẩm định giá số 275/2026/0688/VFI-BC.44.A ngày 06 tháng 5 năm 2026 của 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z w:val="24"/>
        </w:rPr>
        <w:t xml:space="preserve">Công ty Cổ phần Thẩm định và Đầu tư Tài chính Hoa Sen cung cấp Chứng thư thẩm định giá tài sản với nội dung sau:</w:t>
      </w:r>
      <w:r/>
    </w:p>
    <w:p>
      <w:pPr>
        <w:pBdr>
          <w:top w:val="none" w:color="000000" w:sz="4" w:space="0"/>
          <w:left w:val="none" w:color="000000" w:sz="4" w:space="0"/>
          <w:bottom w:val="none" w:color="000000" w:sz="4" w:space="0"/>
          <w:right w:val="none" w:color="000000" w:sz="4" w:space="0"/>
        </w:pBdr>
        <w:tabs>
          <w:tab w:val="left" w:leader="none" w:pos="851"/>
        </w:tabs>
        <w:spacing w:after="120" w:before="120" w:line="288" w:lineRule="auto"/>
        <w:ind w:right="0" w:firstLine="0" w:left="0"/>
        <w:jc w:val="both"/>
        <w:rPr/>
      </w:pPr>
      <w:r>
        <w:rPr>
          <w:rFonts w:ascii="Times New Roman" w:hAnsi="Times New Roman" w:eastAsia="Times New Roman" w:cs="Times New Roman"/>
          <w:b/>
          <w:color w:val="000000"/>
          <w:sz w:val="24"/>
        </w:rPr>
        <w:t xml:space="preserve">1. Khách hàng yêu cầu thẩm định giá:</w:t>
      </w:r>
      <w:r/>
    </w:p>
    <w:tbl>
      <w:tblPr>
        <w:tblStyle w:val="1049"/>
        <w:tblInd w:w="0" w:type="dxa"/>
        <w:tblW w:w="493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234"/>
        <w:gridCol w:w="283"/>
        <w:gridCol w:w="7087"/>
      </w:tblGrid>
      <w:tr>
        <w:trPr>
          <w:trHeight w:val="20"/>
        </w:trPr>
        <w:tc>
          <w:tcPr>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2"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2"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2" w:lineRule="auto"/>
              <w:ind w:right="0" w:firstLine="0" w:left="0"/>
              <w:jc w:val="both"/>
              <w:rPr/>
            </w:pPr>
            <w:r>
              <w:rPr>
                <w:rFonts w:ascii="Times New Roman" w:hAnsi="Times New Roman" w:eastAsia="Times New Roman" w:cs="Times New Roman"/>
                <w:b/>
                <w:color w:val="000000"/>
                <w:sz w:val="24"/>
              </w:rPr>
              <w:t xml:space="preserve">CÔNG TY CỔ PHẦN XÂY DỰNG VÀ PHÁT TRIỂN NAM THĂNG LONG</w:t>
            </w:r>
            <w:r/>
          </w:p>
        </w:tc>
      </w:tr>
      <w:tr>
        <w:trPr>
          <w:trHeight w:val="20"/>
        </w:trPr>
        <w:tc>
          <w:tcPr>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2"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2"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2" w:lineRule="auto"/>
              <w:ind w:right="0" w:firstLine="0" w:left="0"/>
              <w:jc w:val="both"/>
              <w:rPr/>
            </w:pPr>
            <w:r>
              <w:rPr>
                <w:rFonts w:ascii="Times New Roman" w:hAnsi="Times New Roman" w:eastAsia="Times New Roman" w:cs="Times New Roman"/>
                <w:color w:val="000000"/>
                <w:sz w:val="24"/>
              </w:rPr>
              <w:t xml:space="preserve">0104421524</w:t>
            </w:r>
            <w:r/>
          </w:p>
        </w:tc>
      </w:tr>
      <w:tr>
        <w:trPr>
          <w:trHeight w:val="20"/>
        </w:trPr>
        <w:tc>
          <w:tcPr>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2" w:lineRule="auto"/>
              <w:ind w:right="0" w:firstLine="0" w:left="0"/>
              <w:jc w:val="both"/>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2"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2" w:lineRule="auto"/>
              <w:ind w:right="0" w:firstLine="0" w:left="0"/>
              <w:jc w:val="both"/>
              <w:rPr>
                <w:b/>
                <w:bCs/>
              </w:rPr>
            </w:pPr>
            <w:r>
              <w:rPr>
                <w:rFonts w:ascii="Times New Roman" w:hAnsi="Times New Roman" w:eastAsia="Times New Roman" w:cs="Times New Roman"/>
                <w:b/>
                <w:bCs/>
                <w:color w:val="000000"/>
                <w:sz w:val="24"/>
              </w:rPr>
              <w:t xml:space="preserve">Ông Vũ Bá Hải</w:t>
            </w:r>
            <w:r>
              <w:rPr>
                <w:b/>
                <w:bCs/>
              </w:rPr>
            </w:r>
            <w:r>
              <w:rPr>
                <w:b/>
                <w:bCs/>
              </w:rPr>
            </w:r>
          </w:p>
        </w:tc>
      </w:tr>
      <w:tr>
        <w:trPr>
          <w:trHeight w:val="20"/>
        </w:trPr>
        <w:tc>
          <w:tcPr>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2" w:lineRule="auto"/>
              <w:ind w:right="0" w:firstLine="0" w:left="0"/>
              <w:jc w:val="both"/>
              <w:rPr/>
            </w:pPr>
            <w:r>
              <w:rPr>
                <w:rFonts w:ascii="Times New Roman" w:hAnsi="Times New Roman" w:eastAsia="Times New Roman" w:cs="Times New Roman"/>
                <w:color w:val="000000"/>
                <w:sz w:val="24"/>
              </w:rPr>
              <w:t xml:space="preserve">Chức vụ</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2"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2" w:lineRule="auto"/>
              <w:ind w:right="0" w:firstLine="0" w:left="0"/>
              <w:jc w:val="both"/>
              <w:rPr/>
            </w:pPr>
            <w:r>
              <w:rPr>
                <w:rFonts w:ascii="Times New Roman" w:hAnsi="Times New Roman" w:eastAsia="Times New Roman" w:cs="Times New Roman"/>
                <w:color w:val="000000"/>
                <w:sz w:val="24"/>
              </w:rPr>
              <w:t xml:space="preserve">Giám đốc</w:t>
            </w:r>
            <w:r/>
          </w:p>
        </w:tc>
      </w:tr>
      <w:tr>
        <w:trPr>
          <w:trHeight w:val="20"/>
        </w:trPr>
        <w:tc>
          <w:tcPr>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2" w:lineRule="auto"/>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2"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2" w:lineRule="auto"/>
              <w:ind w:right="0" w:firstLine="0" w:left="0"/>
              <w:jc w:val="both"/>
              <w:rPr/>
            </w:pPr>
            <w:r>
              <w:rPr>
                <w:rFonts w:ascii="Times New Roman" w:hAnsi="Times New Roman" w:eastAsia="Times New Roman" w:cs="Times New Roman"/>
                <w:color w:val="000000"/>
                <w:sz w:val="24"/>
              </w:rPr>
              <w:t xml:space="preserve">Số 10 đường Nguyễn Vĩnh Tích, Tiểu khu </w:t>
            </w:r>
            <w:r>
              <w:rPr>
                <w:rFonts w:ascii="Times New Roman" w:hAnsi="Times New Roman" w:eastAsia="Times New Roman" w:cs="Times New Roman"/>
                <w:color w:val="000000"/>
                <w:sz w:val="24"/>
                <w:highlight w:val="yellow"/>
              </w:rPr>
              <w:t xml:space="preserve"> Nguyễn Du,</w:t>
            </w:r>
            <w:r>
              <w:rPr>
                <w:rFonts w:ascii="Times New Roman" w:hAnsi="Times New Roman" w:eastAsia="Times New Roman" w:cs="Times New Roman"/>
                <w:color w:val="000000"/>
                <w:sz w:val="24"/>
              </w:rPr>
              <w:t xml:space="preserve"> xã Thường Tín, Thành phố Hà Nội</w:t>
            </w:r>
            <w:r/>
          </w:p>
        </w:tc>
      </w:tr>
    </w:tbl>
    <w:p>
      <w:pPr>
        <w:pBdr>
          <w:top w:val="none" w:color="000000" w:sz="4" w:space="0"/>
          <w:left w:val="none" w:color="000000" w:sz="4" w:space="0"/>
          <w:bottom w:val="none" w:color="000000" w:sz="4" w:space="0"/>
          <w:right w:val="none" w:color="000000" w:sz="4" w:space="0"/>
        </w:pBdr>
        <w:spacing w:after="120" w:before="120" w:line="252" w:lineRule="auto"/>
        <w:ind w:right="0" w:firstLine="0" w:left="0"/>
        <w:jc w:val="both"/>
        <w:rPr/>
      </w:pPr>
      <w:r>
        <w:rPr>
          <w:rFonts w:ascii="Times New Roman" w:hAnsi="Times New Roman" w:eastAsia="Times New Roman" w:cs="Times New Roman"/>
          <w:b/>
          <w:color w:val="000000"/>
          <w:sz w:val="24"/>
        </w:rPr>
        <w:t xml:space="preserve">2. Thông tin về doanh nghiệp thẩm định giá:</w:t>
      </w:r>
      <w:r/>
    </w:p>
    <w:tbl>
      <w:tblPr>
        <w:tblStyle w:val="1049"/>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269"/>
        <w:gridCol w:w="289"/>
        <w:gridCol w:w="7115"/>
      </w:tblGrid>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40" w:before="40" w:line="252" w:lineRule="auto"/>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jc w:val="both"/>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rPr/>
            </w:pPr>
            <w:r>
              <w:rPr>
                <w:rFonts w:ascii="Times New Roman" w:hAnsi="Times New Roman" w:eastAsia="Times New Roman" w:cs="Times New Roman"/>
                <w:color w:val="000000"/>
                <w:sz w:val="24"/>
              </w:rPr>
              <w:t xml:space="preserve">275/TĐG</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jc w:val="both"/>
              <w:rPr/>
            </w:pPr>
            <w:r>
              <w:rPr>
                <w:rFonts w:ascii="Times New Roman" w:hAnsi="Times New Roman" w:eastAsia="Times New Roman" w:cs="Times New Roman"/>
                <w:color w:val="000000"/>
                <w:sz w:val="24"/>
              </w:rPr>
              <w:t xml:space="preserve">Thông báo</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jc w:val="both"/>
              <w:rPr/>
            </w:pPr>
            <w:r>
              <w:rPr>
                <w:rFonts w:ascii="Times New Roman" w:hAnsi="Times New Roman" w:eastAsia="Times New Roman" w:cs="Times New Roman"/>
                <w:color w:val="292a2e"/>
                <w:sz w:val="24"/>
              </w:rPr>
              <w:t xml:space="preserve">Số 1294/TB-BTC ngày 25/12/2025</w:t>
            </w:r>
            <w:r>
              <w:rPr>
                <w:rFonts w:ascii="Times New Roman" w:hAnsi="Times New Roman" w:eastAsia="Times New Roman" w:cs="Times New Roman"/>
                <w:color w:val="292a2e"/>
                <w:sz w:val="21"/>
              </w:rPr>
              <w:t xml:space="preserve"> </w:t>
            </w:r>
            <w:r>
              <w:rPr>
                <w:rFonts w:ascii="Times New Roman" w:hAnsi="Times New Roman" w:eastAsia="Times New Roman" w:cs="Times New Roman"/>
                <w:color w:val="000000"/>
                <w:sz w:val="24"/>
              </w:rPr>
              <w:t xml:space="preserve">về việc doanh nghiệp đủ điều kiện kinh doanh Dịch vụ thẩm định giá.</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52" w:lineRule="auto"/>
              <w:ind w:right="0" w:firstLine="0" w:left="0"/>
              <w:rPr/>
            </w:pPr>
            <w:r>
              <w:rPr>
                <w:rFonts w:ascii="Times New Roman" w:hAnsi="Times New Roman" w:eastAsia="Times New Roman" w:cs="Times New Roman"/>
                <w:b/>
                <w:color w:val="000000"/>
                <w:sz w:val="24"/>
              </w:rPr>
              <w:t xml:space="preserve">Ông Vũ Văn Quân</w:t>
              <w:tab/>
              <w:t xml:space="preserve">        Chức vụ: Chủ tịch HĐQT kiêm Tổng G</w:t>
            </w:r>
            <w:r>
              <w:rPr>
                <w:rFonts w:ascii="Times New Roman" w:hAnsi="Times New Roman" w:eastAsia="Times New Roman" w:cs="Times New Roman"/>
                <w:b/>
                <w:color w:val="000000"/>
                <w:sz w:val="24"/>
              </w:rPr>
              <w:t xml:space="preserve">Đ</w:t>
            </w:r>
            <w:r/>
          </w:p>
        </w:tc>
      </w:tr>
    </w:tbl>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3. Tài sản thẩm định:</w:t>
      </w: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b/>
          <w:i/>
          <w:iCs/>
          <w:color w:val="000000"/>
          <w:sz w:val="24"/>
        </w:rPr>
        <w:t xml:space="preserve">Tài sản 01:</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pacing w:val="3"/>
          <w:sz w:val="24"/>
          <w:highlight w:val="white"/>
        </w:rPr>
        <w:t xml:space="preserve">Quyền sử dụng đất tại thửa đất số: OM.07-10, tờ bản đồ số: Quy hoạch phân lô, địa chỉ: Thị trấn Thường Tín, huyện Thường Tín (</w:t>
      </w:r>
      <w:r>
        <w:rPr>
          <w:rFonts w:ascii="Times New Roman" w:hAnsi="Times New Roman" w:eastAsia="Times New Roman" w:cs="Times New Roman"/>
          <w:i/>
          <w:color w:val="000000"/>
          <w:spacing w:val="3"/>
          <w:sz w:val="24"/>
          <w:highlight w:val="white"/>
        </w:rPr>
        <w:t xml:space="preserve">nay là xã Thường Tín)</w:t>
      </w:r>
      <w:r>
        <w:rPr>
          <w:rFonts w:ascii="Times New Roman" w:hAnsi="Times New Roman" w:eastAsia="Times New Roman" w:cs="Times New Roman"/>
          <w:color w:val="000000"/>
          <w:spacing w:val="3"/>
          <w:sz w:val="24"/>
          <w:highlight w:val="white"/>
        </w:rPr>
        <w:t xml:space="preserve">,</w:t>
      </w:r>
      <w:r>
        <w:rPr>
          <w:rFonts w:ascii="Times New Roman" w:hAnsi="Times New Roman" w:eastAsia="Times New Roman" w:cs="Times New Roman"/>
          <w:color w:val="000000"/>
          <w:spacing w:val="3"/>
          <w:sz w:val="24"/>
          <w:highlight w:val="white"/>
        </w:rPr>
        <w:t xml:space="preserve"> Thành phố Hà Nội theo Giấy chứng nhận quyền sử dụng đất, quyền sở hữu nhà ở và tài sản khác gắn liền với đất số: CQ 262418, số vào sổ cấp GCN: CH00484 do UBND huyện Thường Tín cấp ngày 13/3/2019; Chủ sử dụng đất là Ông Nguyễn Hùng Quyền và Bà Nguyễn Thị T</w:t>
      </w:r>
      <w:r>
        <w:rPr>
          <w:rFonts w:ascii="Times New Roman" w:hAnsi="Times New Roman" w:eastAsia="Times New Roman" w:cs="Times New Roman"/>
          <w:color w:val="000000"/>
          <w:spacing w:val="3"/>
          <w:sz w:val="24"/>
          <w:highlight w:val="white"/>
        </w:rPr>
        <w:t xml:space="preserve">hủy;</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iCs/>
          <w:color w:val="000000"/>
          <w:spacing w:val="3"/>
          <w:sz w:val="24"/>
          <w:highlight w:val="white"/>
        </w:rPr>
        <w:t xml:space="preserve">Tài sản 02:</w:t>
      </w:r>
      <w:r>
        <w:rPr>
          <w:rFonts w:ascii="Times New Roman" w:hAnsi="Times New Roman" w:eastAsia="Times New Roman" w:cs="Times New Roman"/>
          <w:color w:val="000000"/>
          <w:spacing w:val="3"/>
          <w:sz w:val="24"/>
          <w:highlight w:val="white"/>
        </w:rPr>
        <w:t xml:space="preserve"> Quyền sử dụng đất tại thửa đất số: OM.07-11, tờ bản đồ số: Quy hoạch phân lô, địa chỉ: Thị trấn Thường Tín, huyện Thường Tín (</w:t>
      </w:r>
      <w:r>
        <w:rPr>
          <w:rFonts w:ascii="Times New Roman" w:hAnsi="Times New Roman" w:eastAsia="Times New Roman" w:cs="Times New Roman"/>
          <w:i/>
          <w:color w:val="000000"/>
          <w:spacing w:val="3"/>
          <w:sz w:val="24"/>
          <w:highlight w:val="white"/>
        </w:rPr>
        <w:t xml:space="preserve">nay là xã Thường Tín)</w:t>
      </w:r>
      <w:r>
        <w:rPr>
          <w:rFonts w:ascii="Times New Roman" w:hAnsi="Times New Roman" w:eastAsia="Times New Roman" w:cs="Times New Roman"/>
          <w:color w:val="000000"/>
          <w:spacing w:val="3"/>
          <w:sz w:val="24"/>
          <w:highlight w:val="white"/>
        </w:rPr>
        <w:t xml:space="preserve">,</w:t>
      </w:r>
      <w:r>
        <w:rPr>
          <w:rFonts w:ascii="Times New Roman" w:hAnsi="Times New Roman" w:eastAsia="Times New Roman" w:cs="Times New Roman"/>
          <w:color w:val="000000"/>
          <w:spacing w:val="3"/>
          <w:sz w:val="24"/>
          <w:highlight w:val="white"/>
        </w:rPr>
        <w:t xml:space="preserve"> Thành phố Hà Nội theo Giấy chứng nhận quyền sử dụng đất, quyền sở hữu nhà ở và tài sản khác gắn liền với đất số: CQ 262419, số vào sổ cấp GCN: CH00483 do UBND huyện Thường Tín cấp ngày 13/3/2019; Chủ sử dụng đất là Ông Nguyễn Hùng Quyền và Bà Nguyễn Thị T</w:t>
      </w:r>
      <w:r>
        <w:rPr>
          <w:rFonts w:ascii="Times New Roman" w:hAnsi="Times New Roman" w:eastAsia="Times New Roman" w:cs="Times New Roman"/>
          <w:color w:val="000000"/>
          <w:spacing w:val="3"/>
          <w:sz w:val="24"/>
          <w:highlight w:val="white"/>
        </w:rPr>
        <w:t xml:space="preserve">hủy</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4. Thời điểm thẩm định giá:</w:t>
      </w:r>
      <w:r>
        <w:rPr>
          <w:rFonts w:ascii="Times New Roman" w:hAnsi="Times New Roman" w:eastAsia="Times New Roman" w:cs="Times New Roman"/>
          <w:color w:val="000000"/>
          <w:sz w:val="24"/>
        </w:rPr>
        <w:t xml:space="preserve"> Tháng 5/2026.</w:t>
      </w:r>
      <w:r/>
    </w:p>
    <w:p>
      <w:pPr>
        <w:pBdr>
          <w:top w:val="none" w:color="000000" w:sz="4" w:space="0"/>
          <w:left w:val="none" w:color="000000" w:sz="4" w:space="0"/>
          <w:bottom w:val="none" w:color="000000" w:sz="4" w:space="0"/>
          <w:right w:val="none" w:color="000000" w:sz="4" w:space="0"/>
        </w:pBdr>
        <w:tabs>
          <w:tab w:val="left" w:leader="none" w:pos="851"/>
        </w:tabs>
        <w:spacing w:after="120" w:before="120" w:line="360" w:lineRule="auto"/>
        <w:ind w:right="0" w:firstLine="0" w:left="0"/>
        <w:jc w:val="both"/>
        <w:rPr/>
      </w:pPr>
      <w:r>
        <w:rPr>
          <w:rFonts w:ascii="Times New Roman" w:hAnsi="Times New Roman" w:eastAsia="Times New Roman" w:cs="Times New Roman"/>
          <w:b/>
          <w:color w:val="000000"/>
          <w:sz w:val="24"/>
        </w:rPr>
        <w:t xml:space="preserve">5. Mục đích thẩm định giá: </w:t>
      </w:r>
      <w:r>
        <w:rPr>
          <w:rFonts w:ascii="Times New Roman" w:hAnsi="Times New Roman" w:eastAsia="Times New Roman" w:cs="Times New Roman"/>
          <w:color w:val="000000"/>
          <w:spacing w:val="-4"/>
          <w:sz w:val="24"/>
        </w:rPr>
        <w:t xml:space="preserve">Mục đích xác định giá trị tài sản để nhận làm tài sản bảo đảm phục vụ mục đích vay vốn tại tổ chức tín dụng</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tabs>
          <w:tab w:val="left" w:leader="none" w:pos="851"/>
        </w:tabs>
        <w:spacing w:after="120" w:before="120" w:line="360" w:lineRule="auto"/>
        <w:ind w:right="0" w:firstLine="0" w:left="0"/>
        <w:jc w:val="both"/>
        <w:rPr/>
      </w:pPr>
      <w:r>
        <w:rPr>
          <w:rFonts w:ascii="Times New Roman" w:hAnsi="Times New Roman" w:eastAsia="Times New Roman" w:cs="Times New Roman"/>
          <w:b/>
          <w:color w:val="000000"/>
          <w:sz w:val="24"/>
        </w:rPr>
        <w:t xml:space="preserve">6. Cơ sở giá trị của tài sản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60" w:lineRule="auto"/>
        <w:ind w:right="0" w:firstLine="432" w:left="0"/>
        <w:jc w:val="both"/>
        <w:rPr/>
      </w:pPr>
      <w:r>
        <w:rPr>
          <w:rFonts w:ascii="Times New Roman" w:hAnsi="Times New Roman" w:eastAsia="Times New Roman" w:cs="Times New Roman"/>
          <w:i/>
          <w:color w:val="000000"/>
          <w:sz w:val="24"/>
        </w:rPr>
        <w:t xml:space="preserve">Chi tiết như Báo cáo kèm theo </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60" w:lineRule="auto"/>
        <w:ind w:right="0" w:firstLine="0" w:left="0"/>
        <w:jc w:val="both"/>
        <w:rPr/>
      </w:pPr>
      <w:r>
        <w:rPr>
          <w:rFonts w:ascii="Times New Roman" w:hAnsi="Times New Roman" w:eastAsia="Times New Roman" w:cs="Times New Roman"/>
          <w:b/>
          <w:color w:val="000000"/>
          <w:sz w:val="24"/>
        </w:rPr>
        <w:t xml:space="preserve">7. Giả thiết và giả thiết đặc biệt:</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60"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60" w:lineRule="auto"/>
        <w:ind w:right="0" w:firstLine="0" w:left="0"/>
        <w:jc w:val="both"/>
        <w:rPr/>
      </w:pPr>
      <w:r>
        <w:rPr>
          <w:rFonts w:ascii="Times New Roman" w:hAnsi="Times New Roman" w:eastAsia="Times New Roman" w:cs="Times New Roman"/>
          <w:b/>
          <w:color w:val="000000"/>
          <w:sz w:val="24"/>
        </w:rPr>
        <w:t xml:space="preserve">8. Cách tiếp cận và phương pháp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60"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60" w:lineRule="auto"/>
        <w:ind w:right="0" w:firstLine="0" w:left="0"/>
        <w:jc w:val="both"/>
        <w:rPr/>
      </w:pPr>
      <w:r>
        <w:rPr>
          <w:rFonts w:ascii="Times New Roman" w:hAnsi="Times New Roman" w:eastAsia="Times New Roman" w:cs="Times New Roman"/>
          <w:b/>
          <w:color w:val="000000"/>
          <w:sz w:val="24"/>
        </w:rPr>
        <w:t xml:space="preserve">9. Giá trị tài sản thẩm định giá:</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color w:val="000000"/>
          <w:sz w:val="24"/>
        </w:rPr>
        <w:t xml:space="preserve">Trên cơ sở các hồ sơ, tài liệu do Khách hàng cung cấp, qua điều tra thông tin thực tế trên thị trường với cách tiếp cận và phương pháp thẩm định được áp dụng trong tính toán, Công ty Cổ phần Thẩm định và Đầu tư Tài chính Hoa Sen thông báo giá trị tài sản c</w:t>
      </w:r>
      <w:r>
        <w:rPr>
          <w:rFonts w:ascii="Times New Roman" w:hAnsi="Times New Roman" w:eastAsia="Times New Roman" w:cs="Times New Roman"/>
          <w:color w:val="000000"/>
          <w:sz w:val="24"/>
        </w:rPr>
        <w:t xml:space="preserve">hưa bao gồm các loại thuế, phí và lệ phí liên quan đến việc chuyển nhượng tài sản của Quý khách hàng tại thời điểm Tháng 5/2026 ước tính như sau:</w:t>
      </w: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37"/>
        <w:gridCol w:w="3084"/>
        <w:gridCol w:w="1951"/>
        <w:gridCol w:w="1984"/>
        <w:gridCol w:w="2076"/>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b/>
                <w:bCs/>
              </w:rPr>
            </w:pPr>
            <w:r>
              <w:rPr>
                <w:rFonts w:ascii="Times New Roman" w:hAnsi="Times New Roman" w:eastAsia="Times New Roman" w:cs="Times New Roman"/>
                <w:b/>
                <w:bCs/>
                <w:color w:val="000000"/>
                <w:sz w:val="24"/>
              </w:rPr>
            </w:r>
            <w:r>
              <w:rPr>
                <w:rFonts w:ascii="Times New Roman" w:hAnsi="Times New Roman" w:eastAsia="Times New Roman" w:cs="Times New Roman"/>
                <w:b/>
                <w:bCs/>
                <w:color w:val="000000"/>
                <w:spacing w:val="3"/>
                <w:sz w:val="24"/>
                <w:highlight w:val="white"/>
              </w:rPr>
              <w:t xml:space="preserve">Quyền sử dụng đất tại thửa đất số: OM.07-10, tờ bản đồ số: Quy hoạch phân lô, địa chỉ: Thị trấn Thường Tín, huyện Thường Tín (</w:t>
            </w:r>
            <w:r>
              <w:rPr>
                <w:rFonts w:ascii="Times New Roman" w:hAnsi="Times New Roman" w:eastAsia="Times New Roman" w:cs="Times New Roman"/>
                <w:b/>
                <w:bCs/>
                <w:i/>
                <w:color w:val="000000"/>
                <w:spacing w:val="3"/>
                <w:sz w:val="24"/>
                <w:highlight w:val="white"/>
              </w:rPr>
              <w:t xml:space="preserve">nay là xã Thường Tín)</w:t>
            </w:r>
            <w:r>
              <w:rPr>
                <w:rFonts w:ascii="Times New Roman" w:hAnsi="Times New Roman" w:eastAsia="Times New Roman" w:cs="Times New Roman"/>
                <w:b/>
                <w:bCs/>
                <w:color w:val="000000"/>
                <w:spacing w:val="3"/>
                <w:sz w:val="24"/>
                <w:highlight w:val="white"/>
              </w:rPr>
              <w:t xml:space="preserve">,</w:t>
            </w:r>
            <w:r>
              <w:rPr>
                <w:rFonts w:ascii="Times New Roman" w:hAnsi="Times New Roman" w:eastAsia="Times New Roman" w:cs="Times New Roman"/>
                <w:b/>
                <w:bCs/>
                <w:color w:val="000000"/>
                <w:spacing w:val="3"/>
                <w:sz w:val="24"/>
                <w:highlight w:val="white"/>
              </w:rPr>
              <w:t xml:space="preserve"> Thành phố Hà Nội theo Giấy chứng nhận quyền sử dụng đất, quyền sở hữu nhà ở và tài sản khác gắn liền với đất số: CQ 262418, số vào sổ cấp GCN: CH00484 do UBND huyện Thường Tín cấp ngày 13/3/2019; Chủ sử dụng đất là Ông Nguyễn Hùng Quyền và Bà Nguyễn Thị T</w:t>
            </w:r>
            <w:r>
              <w:rPr>
                <w:rFonts w:ascii="Times New Roman" w:hAnsi="Times New Roman" w:eastAsia="Times New Roman" w:cs="Times New Roman"/>
                <w:b/>
                <w:bCs/>
                <w:color w:val="000000"/>
                <w:spacing w:val="3"/>
                <w:sz w:val="24"/>
                <w:highlight w:val="white"/>
              </w:rPr>
              <w:t xml:space="preserve">hủy</w:t>
            </w:r>
            <w:r>
              <w:rPr>
                <w:rFonts w:ascii="Times New Roman" w:hAnsi="Times New Roman" w:eastAsia="Times New Roman" w:cs="Times New Roman"/>
                <w:b/>
                <w:bCs/>
                <w:color w:val="000000"/>
                <w:spacing w:val="3"/>
                <w:sz w:val="24"/>
                <w:highlight w:val="none"/>
              </w:rPr>
              <w:t xml:space="preserve">.</w:t>
            </w:r>
            <w:r>
              <w:rPr>
                <w:b/>
                <w:bCs/>
              </w:rPr>
            </w:r>
            <w:r>
              <w:rPr>
                <w:b/>
                <w:bCs/>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color w:val="000000"/>
                <w:sz w:val="24"/>
              </w:rPr>
              <w:t xml:space="preserve">01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rPr/>
            </w:pPr>
            <w:r>
              <w:rPr>
                <w:rFonts w:ascii="Times New Roman" w:hAnsi="Times New Roman" w:eastAsia="Times New Roman" w:cs="Times New Roman"/>
                <w:color w:val="000000"/>
                <w:sz w:val="24"/>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51"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4"/>
              </w:rPr>
              <w:t xml:space="preserve">         75,5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color w:val="000000"/>
                <w:sz w:val="24"/>
              </w:rPr>
              <w:t xml:space="preserve"> 201.000.000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color w:val="000000"/>
                <w:sz w:val="24"/>
              </w:rPr>
              <w:t xml:space="preserve">15.175.500.000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color w:val="000000"/>
                <w:sz w:val="24"/>
              </w:rPr>
              <w:t xml:space="preserve">-</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b/>
                <w:bCs/>
              </w:rPr>
            </w:pPr>
            <w:r>
              <w:rPr>
                <w:rFonts w:ascii="Times New Roman" w:hAnsi="Times New Roman" w:eastAsia="Times New Roman" w:cs="Times New Roman"/>
                <w:b/>
                <w:color w:val="000000"/>
                <w:sz w:val="24"/>
              </w:rPr>
            </w:r>
            <w:r>
              <w:rPr>
                <w:rFonts w:ascii="Times New Roman" w:hAnsi="Times New Roman" w:eastAsia="Times New Roman" w:cs="Times New Roman"/>
                <w:b/>
                <w:bCs/>
                <w:color w:val="000000"/>
                <w:spacing w:val="3"/>
                <w:sz w:val="24"/>
                <w:highlight w:val="white"/>
              </w:rPr>
              <w:t xml:space="preserve">Quyền sử dụng đất tại thửa đất số: OM.07-11, tờ bản đồ số: Quy hoạch phân lô, địa chỉ: Thị trấn Thường Tín, huyện Thường Tín (</w:t>
            </w:r>
            <w:r>
              <w:rPr>
                <w:rFonts w:ascii="Times New Roman" w:hAnsi="Times New Roman" w:eastAsia="Times New Roman" w:cs="Times New Roman"/>
                <w:b/>
                <w:bCs/>
                <w:i/>
                <w:color w:val="000000"/>
                <w:spacing w:val="3"/>
                <w:sz w:val="24"/>
                <w:highlight w:val="white"/>
              </w:rPr>
              <w:t xml:space="preserve">nay là xã Thường Tín)</w:t>
            </w:r>
            <w:r>
              <w:rPr>
                <w:rFonts w:ascii="Times New Roman" w:hAnsi="Times New Roman" w:eastAsia="Times New Roman" w:cs="Times New Roman"/>
                <w:b/>
                <w:bCs/>
                <w:color w:val="000000"/>
                <w:spacing w:val="3"/>
                <w:sz w:val="24"/>
                <w:highlight w:val="white"/>
              </w:rPr>
              <w:t xml:space="preserve">,</w:t>
            </w:r>
            <w:r>
              <w:rPr>
                <w:rFonts w:ascii="Times New Roman" w:hAnsi="Times New Roman" w:eastAsia="Times New Roman" w:cs="Times New Roman"/>
                <w:b/>
                <w:bCs/>
                <w:color w:val="000000"/>
                <w:spacing w:val="3"/>
                <w:sz w:val="24"/>
                <w:highlight w:val="white"/>
              </w:rPr>
              <w:t xml:space="preserve"> Thành phố Hà Nội theo Giấy chứng nhận quyền sử dụng đất, quyền sở hữu nhà ở và tài sản khác gắn liền với đất số: CQ 262419, số vào sổ cấp GCN: CH00483 do UBND huyện Thường Tín cấp ngày 13/3/2019; Chủ sử dụng đất là Ông Nguyễn Hùng Quyền và Bà Nguyễn Thị T</w:t>
            </w:r>
            <w:r>
              <w:rPr>
                <w:rFonts w:ascii="Times New Roman" w:hAnsi="Times New Roman" w:eastAsia="Times New Roman" w:cs="Times New Roman"/>
                <w:b/>
                <w:bCs/>
                <w:color w:val="000000"/>
                <w:spacing w:val="3"/>
                <w:sz w:val="24"/>
                <w:highlight w:val="white"/>
              </w:rPr>
              <w:t xml:space="preserve">hủy</w:t>
            </w:r>
            <w:r>
              <w:rPr>
                <w:rFonts w:ascii="Times New Roman" w:hAnsi="Times New Roman" w:eastAsia="Times New Roman" w:cs="Times New Roman"/>
                <w:b/>
                <w:bCs/>
                <w:color w:val="000000"/>
                <w:sz w:val="24"/>
              </w:rPr>
              <w:t xml:space="preserve">.</w:t>
            </w:r>
            <w:r>
              <w:rPr>
                <w:b/>
                <w:bCs/>
              </w:rPr>
            </w:r>
            <w:r>
              <w:rPr>
                <w:b/>
                <w:bCs/>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color w:val="000000"/>
                <w:sz w:val="24"/>
              </w:rPr>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color w:val="000000"/>
                <w:sz w:val="24"/>
              </w:rPr>
              <w:t xml:space="preserve">02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rPr/>
            </w:pPr>
            <w:r>
              <w:rPr>
                <w:rFonts w:ascii="Times New Roman" w:hAnsi="Times New Roman" w:eastAsia="Times New Roman" w:cs="Times New Roman"/>
                <w:color w:val="000000"/>
                <w:sz w:val="24"/>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51"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jc w:val="left"/>
              <w:rPr/>
            </w:pPr>
            <w:r>
              <w:rPr>
                <w:rFonts w:ascii="Times New Roman" w:hAnsi="Times New Roman" w:eastAsia="Times New Roman" w:cs="Times New Roman"/>
                <w:color w:val="000000"/>
                <w:sz w:val="24"/>
              </w:rPr>
              <w:t xml:space="preserve">         75,5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left"/>
              <w:rPr/>
            </w:pPr>
            <w:r>
              <w:rPr>
                <w:rFonts w:ascii="Times New Roman" w:hAnsi="Times New Roman" w:eastAsia="Times New Roman" w:cs="Times New Roman"/>
                <w:color w:val="000000"/>
                <w:sz w:val="24"/>
              </w:rPr>
              <w:t xml:space="preserve"> 201.000.000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color w:val="000000"/>
                <w:sz w:val="24"/>
              </w:rPr>
              <w:t xml:space="preserve">15.175.500.000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Times New Roman" w:hAnsi="Times New Roman" w:eastAsia="Times New Roman" w:cs="Times New Roman"/>
                <w:b/>
                <w:color w:val="000000"/>
                <w:sz w:val="24"/>
              </w:rPr>
              <w:t xml:space="preserve"> </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19"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6"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Times New Roman" w:hAnsi="Times New Roman" w:eastAsia="Times New Roman" w:cs="Times New Roman"/>
                <w:b/>
                <w:color w:val="000000"/>
                <w:sz w:val="24"/>
              </w:rPr>
              <w:t xml:space="preserve">      30.351.000.000 </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4"/>
              </w:rPr>
              <w:t xml:space="preserve"> </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5"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i/>
                <w:color w:val="000000"/>
                <w:sz w:val="24"/>
              </w:rPr>
              <w:t xml:space="preserve">(Bằng chữ: Ba mươi tỷ, ba trăm năm mươi mốt triệu đồng chẵn ./.)</w:t>
            </w:r>
            <w:r/>
          </w:p>
        </w:tc>
      </w:tr>
    </w:tbl>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10. Thời hạn hiệu lực của kết quả thẩm định giá:</w:t>
      </w:r>
      <w:r/>
    </w:p>
    <w:p>
      <w:pPr>
        <w:pBdr>
          <w:top w:val="none" w:color="000000" w:sz="4" w:space="0"/>
          <w:left w:val="none" w:color="000000" w:sz="4" w:space="0"/>
          <w:bottom w:val="none" w:color="000000" w:sz="4" w:space="0"/>
          <w:right w:val="none" w:color="000000" w:sz="4" w:space="0"/>
        </w:pBdr>
        <w:spacing w:after="120" w:before="120" w:line="360" w:lineRule="auto"/>
        <w:ind w:right="0" w:firstLine="360" w:left="0"/>
        <w:jc w:val="both"/>
        <w:rPr/>
      </w:pPr>
      <w:r>
        <w:rPr>
          <w:rFonts w:ascii="Times New Roman" w:hAnsi="Times New Roman" w:eastAsia="Times New Roman" w:cs="Times New Roman"/>
          <w:color w:val="000000"/>
          <w:sz w:val="24"/>
        </w:rPr>
        <w:t xml:space="preserve">- 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rPr/>
      </w:pPr>
      <w:r>
        <w:rPr>
          <w:rFonts w:ascii="Times New Roman" w:hAnsi="Times New Roman" w:eastAsia="Times New Roman" w:cs="Times New Roman"/>
          <w:b/>
          <w:color w:val="000000"/>
          <w:sz w:val="24"/>
        </w:rPr>
        <w:t xml:space="preserve">11. Những điều khoản loại trừ và hạn chế của kết quả thẩm định giá:</w:t>
      </w:r>
      <w:r/>
    </w:p>
    <w:p>
      <w:pPr>
        <w:pBdr>
          <w:top w:val="none" w:color="000000" w:sz="4" w:space="0"/>
          <w:left w:val="none" w:color="000000" w:sz="4" w:space="0"/>
          <w:bottom w:val="none" w:color="000000" w:sz="4" w:space="0"/>
          <w:right w:val="none" w:color="000000" w:sz="4" w:space="0"/>
        </w:pBdr>
        <w:spacing w:after="120" w:before="120" w:line="360" w:lineRule="auto"/>
        <w:ind w:right="0" w:firstLine="360" w:left="0"/>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 Chi tiết như Báo cáo kèm theo.</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shd w:val="nil" w:color="auto"/>
        <w:spacing/>
        <w:ind/>
        <w:rPr>
          <w:rFonts w:ascii="Times New Roman" w:hAnsi="Times New Roman" w:eastAsia="Times New Roman" w:cs="Times New Roman"/>
          <w:sz w:val="24"/>
          <w:szCs w:val="24"/>
        </w:rPr>
      </w:pPr>
      <w:r>
        <w:rPr>
          <w:rFonts w:ascii="Times New Roman" w:hAnsi="Times New Roman" w:eastAsia="Times New Roman" w:cs="Times New Roman"/>
          <w:sz w:val="24"/>
          <w:szCs w:val="24"/>
        </w:rPr>
        <w:br w:type="page" w:clear="all"/>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rPr/>
      </w:pPr>
      <w:r>
        <w:rPr>
          <w:rFonts w:ascii="Times New Roman" w:hAnsi="Times New Roman" w:eastAsia="Times New Roman" w:cs="Times New Roman"/>
          <w:b/>
          <w:color w:val="000000"/>
          <w:spacing w:val="-4"/>
          <w:sz w:val="24"/>
        </w:rPr>
        <w:t xml:space="preserve">12. Các tài liệu kèm theo:</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Báo cáo kết quả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Các phụ lục chi tiết kèm theo.</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Chứng thư thẩm định giá được phát hành 03 (ba) bản chính bằng tiếng Việt, cấp cho quý khách hàng 02 (hai) bản, lưu lại Công ty Cổ phần Thẩm định và Đầu tư Tài chính Hoa Sen 01 (một) bản có giá trị pháp lý như nhau.</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 Mọi hình thức sao chép báo cáo và chứng thư thẩm định giá không có sự đồng ý bằng văn bản của Công ty Cổ phần Thẩm định và Đầu tư Tài chính Hoa Sen đều là hành vi vi phạm pháp luật.</w:t>
      </w:r>
      <w:r/>
    </w:p>
    <w:tbl>
      <w:tblPr>
        <w:tblStyle w:val="1049"/>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THẨM ĐỊNH VIÊN VỀ GIÁ</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CHỦ TỊCH HĐQT KIÊM TỔNG GIÁM ĐỐC</w:t>
            </w: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Nguyễn Thị Thùy Dương </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Số thẻ thẩm định viên về giá: XVI25TS.2576</w:t>
            </w: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Vũ Văn Quân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XII17.1825</w:t>
            </w:r>
            <w:r/>
          </w:p>
        </w:tc>
      </w:tr>
    </w:tbl>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 </w:t>
      </w:r>
      <w:r/>
    </w:p>
    <w:tbl>
      <w:tblPr>
        <w:tblStyle w:val="1049"/>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16"/>
        <w:gridCol w:w="2091"/>
        <w:gridCol w:w="5412"/>
        <w:gridCol w:w="554"/>
      </w:tblGrid>
      <w:tr>
        <w:trPr>
          <w:trHeight w:val="1843"/>
        </w:trPr>
        <w:tc>
          <w:tcPr>
            <w:tcBorders/>
            <w:tcMar>
              <w:left w:w="108" w:type="dxa"/>
              <w:top w:w="0" w:type="dxa"/>
              <w:right w:w="108" w:type="dxa"/>
              <w:bottom w:w="0" w:type="dxa"/>
            </w:tcMar>
            <w:tcW w:w="1816"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hanging="108" w:left="0"/>
              <w:rPr/>
            </w:pPr>
            <w:r>
              <mc:AlternateContent>
                <mc:Choice Requires="wpg">
                  <w:drawing>
                    <wp:inline xmlns:wp="http://schemas.openxmlformats.org/drawingml/2006/wordprocessingDrawing" distT="0" distB="0" distL="0" distR="0">
                      <wp:extent cx="1019175" cy="923925"/>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79763" name=""/>
                              <pic:cNvPicPr>
                                <a:picLocks noChangeAspect="1"/>
                              </pic:cNvPicPr>
                              <pic:nvPr/>
                            </pic:nvPicPr>
                            <pic:blipFill rotWithShape="1">
                              <a:blip r:embed="rId15"/>
                              <a:stretch/>
                            </pic:blipFill>
                            <pic:spPr bwMode="auto">
                              <a:xfrm>
                                <a:off x="0" y="0"/>
                                <a:ext cx="1019174" cy="923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25pt;height:72.75pt;mso-wrap-distance-left:0.00pt;mso-wrap-distance-top:0.00pt;mso-wrap-distance-right:0.00pt;mso-wrap-distance-bottom:0.00pt;z-index:1;" stroked="false">
                      <v:imagedata r:id="rId15" o:title=""/>
                      <o:lock v:ext="edit" rotation="t"/>
                    </v:shape>
                  </w:pict>
                </mc:Fallback>
              </mc:AlternateContent>
            </w:r>
            <w:r/>
          </w:p>
        </w:tc>
        <w:tc>
          <w:tcPr>
            <w:gridSpan w:val="3"/>
            <w:tcBorders/>
            <w:tcMar>
              <w:left w:w="108" w:type="dxa"/>
              <w:top w:w="0" w:type="dxa"/>
              <w:right w:w="108" w:type="dxa"/>
              <w:bottom w:w="0" w:type="dxa"/>
            </w:tcMar>
            <w:tcW w:w="8057"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Trụ sở: BT5 - 23, Khu đô thị mới Văn Phú, Phường Kiến Hưng, Thành phố Hà Nội</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Email: </w:t>
              <w:tab/>
            </w:r>
            <w:hyperlink r:id="rId16" w:tooltip="mailto:ilotus.contact@gmail.com" w:history="1">
              <w:r>
                <w:rPr>
                  <w:rStyle w:val="1035"/>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gridAfter w:val="1"/>
          <w:trHeight w:val="84"/>
        </w:trPr>
        <w:tc>
          <w:tcPr>
            <w:gridSpan w:val="2"/>
            <w:tcBorders/>
            <w:tcMar>
              <w:left w:w="108" w:type="dxa"/>
              <w:top w:w="0" w:type="dxa"/>
              <w:right w:w="108" w:type="dxa"/>
              <w:bottom w:w="0" w:type="dxa"/>
            </w:tcMar>
            <w:tcW w:w="3907"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4"/>
              </w:rPr>
              <w:t xml:space="preserve">Số: 275/2026/0688/VFI-BC.44.A</w:t>
            </w:r>
            <w:r/>
          </w:p>
        </w:tc>
        <w:tc>
          <w:tcPr>
            <w:tcBorders/>
            <w:tcMar>
              <w:left w:w="108" w:type="dxa"/>
              <w:top w:w="0" w:type="dxa"/>
              <w:right w:w="108" w:type="dxa"/>
              <w:bottom w:w="0" w:type="dxa"/>
            </w:tcMar>
            <w:tcW w:w="5412"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right"/>
              <w:rPr/>
            </w:pPr>
            <w:r>
              <w:rPr>
                <w:rFonts w:ascii="Times New Roman" w:hAnsi="Times New Roman" w:eastAsia="Times New Roman" w:cs="Times New Roman"/>
                <w:i/>
                <w:color w:val="000000"/>
                <w:sz w:val="24"/>
              </w:rPr>
              <w:t xml:space="preserve">TP. Hà Nội, ngày 06 tháng 5 năm 2026</w:t>
            </w:r>
            <w:r/>
          </w:p>
        </w:tc>
      </w:tr>
      <w:tr>
        <w:trPr>
          <w:gridAfter w:val="1"/>
          <w:trHeight w:val="84"/>
        </w:trPr>
        <w:tc>
          <w:tcPr>
            <w:gridSpan w:val="2"/>
            <w:tcBorders/>
            <w:tcMar>
              <w:left w:w="108" w:type="dxa"/>
              <w:top w:w="0" w:type="dxa"/>
              <w:right w:w="108" w:type="dxa"/>
              <w:bottom w:w="0" w:type="dxa"/>
            </w:tcMar>
            <w:tcW w:w="3907"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5412"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both"/>
              <w:rPr/>
            </w:pPr>
            <w:r>
              <w:rPr>
                <w:rFonts w:ascii="Times New Roman" w:hAnsi="Times New Roman" w:eastAsia="Times New Roman" w:cs="Times New Roman"/>
                <w:i/>
                <w:color w:val="000000"/>
                <w:sz w:val="24"/>
              </w:rPr>
              <w:t xml:space="preserve"> </w:t>
            </w:r>
            <w:r/>
          </w:p>
        </w:tc>
      </w:tr>
      <w:tr>
        <w:trPr/>
        <w:tc>
          <w:tcPr>
            <w:tcBorders/>
            <w:tcMar>
              <w:left w:w="0" w:type="dxa"/>
              <w:top w:w="0" w:type="dxa"/>
              <w:right w:w="0" w:type="dxa"/>
              <w:bottom w:w="0" w:type="dxa"/>
            </w:tcMar>
            <w:tcW w:w="1816"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2091"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5412"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554"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tabs>
          <w:tab w:val="left" w:leader="none" w:pos="5102"/>
        </w:tabs>
        <w:spacing w:before="200" w:line="340" w:lineRule="atLeast"/>
        <w:ind w:right="0" w:firstLine="0" w:left="0"/>
        <w:jc w:val="center"/>
        <w:rPr/>
      </w:pPr>
      <w:r>
        <w:rPr>
          <w:rFonts w:ascii="Times New Roman" w:hAnsi="Times New Roman" w:eastAsia="Times New Roman" w:cs="Times New Roman"/>
          <w:b/>
          <w:color w:val="000000"/>
          <w:sz w:val="30"/>
        </w:rPr>
        <w:t xml:space="preserve">BÁO CÁO KẾT QUẢ THẨM ĐỊNH GIÁ</w:t>
      </w:r>
      <w:r/>
    </w:p>
    <w:p>
      <w:pPr>
        <w:pStyle w:val="1024"/>
        <w:pBdr>
          <w:top w:val="none" w:color="000000" w:sz="4" w:space="0"/>
          <w:left w:val="none" w:color="000000" w:sz="4" w:space="0"/>
          <w:bottom w:val="none" w:color="000000" w:sz="4" w:space="0"/>
          <w:right w:val="none" w:color="000000" w:sz="4" w:space="0"/>
        </w:pBdr>
        <w:tabs>
          <w:tab w:val="left" w:leader="none" w:pos="4820"/>
        </w:tabs>
        <w:spacing w:after="200" w:before="100" w:line="340" w:lineRule="atLeast"/>
        <w:ind w:right="0" w:hanging="180" w:left="0"/>
        <w:jc w:val="center"/>
        <w:rPr>
          <w:b w:val="0"/>
          <w:bCs w:val="0"/>
        </w:rPr>
      </w:pPr>
      <w:r>
        <w:rPr>
          <w:rFonts w:ascii="Times New Roman" w:hAnsi="Times New Roman" w:eastAsia="Times New Roman" w:cs="Times New Roman"/>
          <w:b w:val="0"/>
          <w:bCs w:val="0"/>
          <w:i/>
          <w:color w:val="000000"/>
          <w:spacing w:val="-6"/>
          <w:sz w:val="24"/>
        </w:rPr>
        <w:t xml:space="preserve">(Kèm theo Chứng thư thẩm định giá số: 275/2026/0688/VFI-CT.44.A ngày 06 tháng 5 năm 2026)</w:t>
      </w:r>
      <w:r>
        <w:rPr>
          <w:b w:val="0"/>
          <w:bCs w:val="0"/>
        </w:rPr>
      </w:r>
      <w:r>
        <w:rPr>
          <w:b w:val="0"/>
          <w:bCs w:val="0"/>
        </w:rPr>
      </w:r>
    </w:p>
    <w:p>
      <w:pPr>
        <w:pStyle w:val="1024"/>
        <w:pBdr>
          <w:top w:val="none" w:color="000000" w:sz="4" w:space="0"/>
          <w:left w:val="none" w:color="000000" w:sz="4" w:space="0"/>
          <w:bottom w:val="none" w:color="000000" w:sz="4" w:space="0"/>
          <w:right w:val="none" w:color="000000" w:sz="4" w:space="0"/>
        </w:pBdr>
        <w:tabs>
          <w:tab w:val="left" w:leader="none" w:pos="4820"/>
        </w:tabs>
        <w:spacing w:after="200" w:before="0" w:line="340" w:lineRule="atLeast"/>
        <w:ind w:right="0" w:firstLine="0" w:left="0"/>
        <w:jc w:val="both"/>
        <w:rPr/>
      </w:pPr>
      <w:r>
        <w:rPr>
          <w:rFonts w:ascii="Times New Roman" w:hAnsi="Times New Roman" w:eastAsia="Times New Roman" w:cs="Times New Roman"/>
          <w:b/>
          <w:color w:val="000000"/>
          <w:sz w:val="24"/>
        </w:rPr>
        <w:t xml:space="preserve">I. THÔNG TIN VỀ DOANH NGHIỆP THẨM ĐỊNH GIÁ </w:t>
      </w:r>
      <w:r/>
    </w:p>
    <w:tbl>
      <w:tblPr>
        <w:tblStyle w:val="1049"/>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52"/>
        <w:gridCol w:w="289"/>
        <w:gridCol w:w="6940"/>
      </w:tblGrid>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60" w:before="60" w:line="276" w:lineRule="auto"/>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275/TĐG</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Ông Vũ Văn Quân </w:t>
              <w:tab/>
              <w:t xml:space="preserve">Chức vụ: Chủ tịch HĐQT kiêm Tổng GĐ</w:t>
            </w:r>
            <w:r/>
          </w:p>
        </w:tc>
      </w:tr>
    </w:tbl>
    <w:p>
      <w:pPr>
        <w:pBdr>
          <w:top w:val="none" w:color="000000" w:sz="4" w:space="0"/>
          <w:left w:val="none" w:color="000000" w:sz="4" w:space="0"/>
          <w:bottom w:val="none" w:color="000000" w:sz="4" w:space="0"/>
          <w:right w:val="none" w:color="000000" w:sz="4" w:space="0"/>
        </w:pBdr>
        <w:tabs>
          <w:tab w:val="left" w:leader="none" w:pos="284"/>
        </w:tabs>
        <w:spacing w:after="120" w:before="0" w:line="320" w:lineRule="atLeast"/>
        <w:ind w:right="0" w:firstLine="0" w:left="0"/>
        <w:jc w:val="both"/>
        <w:rPr/>
      </w:pPr>
      <w:r>
        <w:rPr>
          <w:rFonts w:ascii="Times New Roman" w:hAnsi="Times New Roman" w:eastAsia="Times New Roman" w:cs="Times New Roman"/>
          <w:b/>
          <w:color w:val="000000"/>
          <w:sz w:val="24"/>
        </w:rPr>
        <w:t xml:space="preserve">II. THÔNG TIN CƠ BẢN VỀ CUỘC THẨM ĐỊNH GIÁ</w:t>
      </w:r>
      <w:r/>
    </w:p>
    <w:p>
      <w:pPr>
        <w:pBdr>
          <w:top w:val="none" w:color="000000" w:sz="4" w:space="0"/>
          <w:left w:val="none" w:color="000000" w:sz="4" w:space="0"/>
          <w:bottom w:val="none" w:color="000000" w:sz="4" w:space="0"/>
          <w:right w:val="none" w:color="000000" w:sz="4" w:space="0"/>
        </w:pBdr>
        <w:tabs>
          <w:tab w:val="left" w:leader="none" w:pos="284"/>
        </w:tabs>
        <w:spacing w:after="120" w:before="120" w:line="320" w:lineRule="atLeast"/>
        <w:ind w:right="0" w:firstLine="0" w:left="0"/>
        <w:jc w:val="both"/>
        <w:rPr/>
      </w:pPr>
      <w:r>
        <w:rPr>
          <w:rFonts w:ascii="Times New Roman" w:hAnsi="Times New Roman" w:eastAsia="Times New Roman" w:cs="Times New Roman"/>
          <w:b/>
          <w:color w:val="000000"/>
          <w:sz w:val="24"/>
        </w:rPr>
        <w:t xml:space="preserve">1. Thông tin cơ bản về cuộc thẩm định giá:</w:t>
      </w: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18"/>
        <w:gridCol w:w="284"/>
        <w:gridCol w:w="6945"/>
      </w:tblGrid>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CÔNG TY CỔ PHẦN XÂY DỰNG VÀ PHÁT TRIỂN NAM THĂNG LONG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0104421524</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b/>
                <w:bCs/>
              </w:rPr>
            </w:pPr>
            <w:r>
              <w:rPr>
                <w:rFonts w:ascii="Times New Roman" w:hAnsi="Times New Roman" w:eastAsia="Times New Roman" w:cs="Times New Roman"/>
                <w:b/>
                <w:bCs/>
                <w:color w:val="000000"/>
                <w:sz w:val="24"/>
              </w:rPr>
              <w:t xml:space="preserve">Ông Vũ Bá Hải</w:t>
            </w:r>
            <w:r>
              <w:rPr>
                <w:b/>
                <w:bCs/>
              </w:rPr>
            </w:r>
            <w:r>
              <w:rPr>
                <w:b/>
                <w:bCs/>
              </w:rP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Chức vụ</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Giám đốc</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Số 10 đường Nguyễn Vĩnh Tích,</w:t>
            </w:r>
            <w:r>
              <w:rPr>
                <w:rFonts w:ascii="Times New Roman" w:hAnsi="Times New Roman" w:eastAsia="Times New Roman" w:cs="Times New Roman"/>
                <w:color w:val="000000"/>
                <w:sz w:val="24"/>
                <w:highlight w:val="yellow"/>
              </w:rPr>
              <w:t xml:space="preserve"> Tiểu khu Nguyễn Du, </w:t>
            </w:r>
            <w:r>
              <w:rPr>
                <w:rFonts w:ascii="Times New Roman" w:hAnsi="Times New Roman" w:eastAsia="Times New Roman" w:cs="Times New Roman"/>
                <w:color w:val="000000"/>
                <w:sz w:val="24"/>
              </w:rPr>
              <w:t xml:space="preserve">xã Thường Tín, Thành phố Hà Nội</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sản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b/>
                <w:i/>
                <w:iCs/>
                <w:color w:val="000000"/>
                <w:sz w:val="24"/>
              </w:rPr>
              <w:t xml:space="preserve">Tài sản 01:</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pacing w:val="3"/>
                <w:sz w:val="24"/>
                <w:highlight w:val="white"/>
              </w:rPr>
              <w:t xml:space="preserve">Quyền sử dụng đất tại thửa đất số: OM.07-10, tờ bản đồ số: Quy hoạch phân lô, địa chỉ: Thị trấn Thường Tín, huyện Thường Tín (</w:t>
            </w:r>
            <w:r>
              <w:rPr>
                <w:rFonts w:ascii="Times New Roman" w:hAnsi="Times New Roman" w:eastAsia="Times New Roman" w:cs="Times New Roman"/>
                <w:i/>
                <w:color w:val="000000"/>
                <w:spacing w:val="3"/>
                <w:sz w:val="24"/>
                <w:highlight w:val="white"/>
              </w:rPr>
              <w:t xml:space="preserve">nay là xã Thường Tín)</w:t>
            </w:r>
            <w:r>
              <w:rPr>
                <w:rFonts w:ascii="Times New Roman" w:hAnsi="Times New Roman" w:eastAsia="Times New Roman" w:cs="Times New Roman"/>
                <w:color w:val="000000"/>
                <w:spacing w:val="3"/>
                <w:sz w:val="24"/>
                <w:highlight w:val="white"/>
              </w:rPr>
              <w:t xml:space="preserve">,</w:t>
            </w:r>
            <w:r>
              <w:rPr>
                <w:rFonts w:ascii="Times New Roman" w:hAnsi="Times New Roman" w:eastAsia="Times New Roman" w:cs="Times New Roman"/>
                <w:color w:val="000000"/>
                <w:spacing w:val="3"/>
                <w:sz w:val="24"/>
                <w:highlight w:val="white"/>
              </w:rPr>
              <w:t xml:space="preserve"> Thành phố Hà Nội theo Giấy chứng nhận quyền sử dụng đất, quyền sở hữu nhà ở và tài sản khác gắn liền với đất số: CQ 262418, số vào sổ cấp GCN: CH00484 do UBND huyện Thường Tín cấp ngày 13/3/2019; Chủ sử dụng đất là Ông Nguyễn Hùng Quyền và Bà Nguyễn Thị T</w:t>
            </w:r>
            <w:r>
              <w:rPr>
                <w:rFonts w:ascii="Times New Roman" w:hAnsi="Times New Roman" w:eastAsia="Times New Roman" w:cs="Times New Roman"/>
                <w:color w:val="000000"/>
                <w:spacing w:val="3"/>
                <w:sz w:val="24"/>
                <w:highlight w:val="white"/>
              </w:rPr>
              <w:t xml:space="preserve">hủy</w:t>
            </w:r>
            <w:r>
              <w:rPr>
                <w:rFonts w:ascii="Times New Roman" w:hAnsi="Times New Roman" w:eastAsia="Times New Roman" w:cs="Times New Roman"/>
                <w:color w:val="000000"/>
                <w:spacing w:val="3"/>
                <w:sz w:val="24"/>
                <w:highlight w:val="none"/>
              </w:rPr>
              <w:t xml:space="preserve">;</w:t>
            </w:r>
            <w:r>
              <w:rPr>
                <w:rFonts w:ascii="Times New Roman" w:hAnsi="Times New Roman" w:eastAsia="Times New Roman" w:cs="Times New Roman"/>
                <w:color w:val="000000"/>
                <w:spacing w:val="3"/>
                <w:sz w:val="24"/>
                <w:highlight w:val="white"/>
              </w:rPr>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iCs/>
                <w:color w:val="000000"/>
                <w:spacing w:val="3"/>
                <w:sz w:val="24"/>
                <w:highlight w:val="white"/>
              </w:rPr>
              <w:t xml:space="preserve">Tài sản 02:</w:t>
            </w:r>
            <w:r>
              <w:rPr>
                <w:rFonts w:ascii="Times New Roman" w:hAnsi="Times New Roman" w:eastAsia="Times New Roman" w:cs="Times New Roman"/>
                <w:color w:val="000000"/>
                <w:spacing w:val="3"/>
                <w:sz w:val="24"/>
                <w:highlight w:val="white"/>
              </w:rPr>
              <w:t xml:space="preserve"> Quyền sử dụng đất tại thửa đất số: OM.07-11, tờ bản đồ số: Quy hoạch phân lô, địa chỉ: Thị trấn Thường Tín, huyện Thường Tín (</w:t>
            </w:r>
            <w:r>
              <w:rPr>
                <w:rFonts w:ascii="Times New Roman" w:hAnsi="Times New Roman" w:eastAsia="Times New Roman" w:cs="Times New Roman"/>
                <w:i/>
                <w:color w:val="000000"/>
                <w:spacing w:val="3"/>
                <w:sz w:val="24"/>
                <w:highlight w:val="white"/>
              </w:rPr>
              <w:t xml:space="preserve">nay là xã Thường Tín)</w:t>
            </w:r>
            <w:r>
              <w:rPr>
                <w:rFonts w:ascii="Times New Roman" w:hAnsi="Times New Roman" w:eastAsia="Times New Roman" w:cs="Times New Roman"/>
                <w:color w:val="000000"/>
                <w:spacing w:val="3"/>
                <w:sz w:val="24"/>
                <w:highlight w:val="white"/>
              </w:rPr>
              <w:t xml:space="preserve">,</w:t>
            </w:r>
            <w:r>
              <w:rPr>
                <w:rFonts w:ascii="Times New Roman" w:hAnsi="Times New Roman" w:eastAsia="Times New Roman" w:cs="Times New Roman"/>
                <w:color w:val="000000"/>
                <w:spacing w:val="3"/>
                <w:sz w:val="24"/>
                <w:highlight w:val="white"/>
              </w:rPr>
              <w:t xml:space="preserve"> Thành phố Hà Nội theo Giấy chứng nhận quyền sử dụng đất, quyền sở hữu nhà ở và tài sản khác gắn liền với đất số: CQ 262419, số vào sổ cấp GCN: CH00483 do UBND huyện Thường Tín cấp ngày 13/3/2019; Chủ sử dụng đất là Ông Nguyễn Hùng Quyền và Bà Nguyễn Thị T</w:t>
            </w:r>
            <w:r>
              <w:rPr>
                <w:rFonts w:ascii="Times New Roman" w:hAnsi="Times New Roman" w:eastAsia="Times New Roman" w:cs="Times New Roman"/>
                <w:color w:val="000000"/>
                <w:spacing w:val="3"/>
                <w:sz w:val="24"/>
                <w:highlight w:val="white"/>
              </w:rPr>
              <w:t xml:space="preserve">hủy</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Mục đích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rFonts w:ascii="Times New Roman" w:hAnsi="Times New Roman" w:eastAsia="Times New Roman" w:cs="Times New Roman"/>
                <w:color w:val="000000"/>
                <w:spacing w:val="-4"/>
                <w:sz w:val="24"/>
              </w:rPr>
              <w:t xml:space="preserve">Mục đích xác định giá trị tài sản để nhận làm tài sản bảo đảm phục vụ mục đích vay vốn tại tổ chức tín dụng.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12"/>
                <w:sz w:val="24"/>
              </w:rPr>
              <w:t xml:space="preserve">Cơ sở giá trị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pPr>
            <w:r>
              <w:rPr>
                <w:rFonts w:ascii="Times New Roman" w:hAnsi="Times New Roman" w:eastAsia="Times New Roman" w:cs="Times New Roman"/>
                <w:color w:val="000000"/>
                <w:spacing w:val="-4"/>
                <w:sz w:val="24"/>
              </w:rPr>
              <w:t xml:space="preserve">Giá trị thị trường.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Thời điểm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5/2026.</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Địa điểm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Xã Thường Tín, thành phố Hà Nội</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Thời điểm khảo sát</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5/2026.</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pacing w:val="-6"/>
          <w:sz w:val="24"/>
        </w:rPr>
        <w:t xml:space="preserve">2. Các nguồn thông tin được sử dụng trong quá trình thẩm định giá và xem xét đánh giá các thông tin thu thập</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6"/>
          <w:sz w:val="24"/>
        </w:rPr>
        <w:t xml:space="preserve">Tham khảo nguồn thông tin từ các trang giao bán bất động sản qua mạng Internet, gọi điện trực tiếp</w:t>
      </w:r>
      <w:r>
        <w:rPr>
          <w:rFonts w:ascii="Times New Roman" w:hAnsi="Times New Roman" w:eastAsia="Times New Roman" w:cs="Times New Roman"/>
          <w:color w:val="000000"/>
          <w:sz w:val="24"/>
        </w:rPr>
        <w:t xml:space="preserve">.</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Tham khảo nguồn thông tin trực tiếp từ những người dân sinh sống xung quanh trên địa bàn.</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Đánh giá nguồn thông tin thu thập: Nguồn thông tin thu thập khách quan và phổ biến trên thị trường.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 Căn cứ pháp lý</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3.1. Văn bản quy phạm pháp luật:</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    Luật Giá số 16/2023/QH15 ngày 19/6/2023;</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Đất đai số 31/2024/QH15 đã được Quốc hội nước Cộng hòa xã hội chủ nghĩa Việt Nam khóa XV, kỳ họp bất thường lần thứ 5 thông qua ngày 06 tháng 01 năm 2024;</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Xây dựng số 50/2014/QH13 đã được Quốc hội nước Cộng hòa xã hội chủ nghĩa Việt Nam khóa XIII, kỳ họp thứ 7 thông qua ngày 06 tháng 6 năm 2014;</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số 62/2020/QH14 đã được Quốc hội nước Cộng hòa xã hội chủ nghĩa Việt Nam khóa XIV, kỳ họp thứ 9 thông qua ngày 17 tháng 6 năm 2020 về việc Sửa đổi, bổ sung một số điều của Luật Xây dựng;</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Nhà ở số 27/2023/QH15 đã được Quốc hội nước Cộng hòa xã hội chủ nghĩa Việt Nam khóa XV, kỳ họp thứ 6 thông qua ngày 27 tháng 11 năm 2023;</w:t>
      </w:r>
      <w:r/>
    </w:p>
    <w:p>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rPr/>
      </w:pPr>
      <w:r>
        <w:rPr>
          <w:rFonts w:ascii="Times New Roman" w:hAnsi="Times New Roman" w:eastAsia="Times New Roman" w:cs="Times New Roman"/>
          <w:color w:val="000000"/>
          <w:sz w:val="24"/>
        </w:rPr>
        <w:t xml:space="preserve">Nghị định số 71/2024/NĐ-CP ngày 27/6/2024 của Chính phủ Quy định về giá đất;</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Nghị định số 103/2024/NĐ-CP ngày 30/7/2024 của Chính phủ quy định về thu tiền sử dụng đất, tiền thuê đất;</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28/2024/TT-BTC ngày 16/5/2024 của Bộ Tài chính Quy định về trình tự, thủ tục kiểm tra việc chấp hành pháp luật về giá, thẩm định giá do Bộ trưởng Bộ Tài chính ban hành;</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30/2024/TT-BTC ngày 16/5/2024 của Bộ Tài chính ban hành các chuẩn mực thẩm định giá Việt Nam về quy tắc đạo đức nghề nghiệp thẩm định giá, phạm vi công việc thẩm định giá, cơ sở giá trị thẩm định giá, hồ sơ thẩm định giá;</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31/2024/TT-BTC ngày 16/5/2024 của Bộ Tài chính ban hành chuẩn mực thẩm định giá Việt Nam về thu thập và phân tích thông tin về tài sản thẩm định giá;</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32/2024/TT-BTC ngày 16/5/2024 của Bộ Tài chính ban hành các chuẩn mực thẩm định giá Việt Nam về cách tiếp cận từ thị trường, cách tiếp cận từ chi phí, cách tiếp cận từ thu nhập;</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36/2024/TT-BTC ngày 16/5/2024 của Bộ Tài chính ban hành chuẩn mực thẩm định giá Việt Nam về thẩm định giá doanh nghiệp;</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37/2024/TT-BTC ngày 16/5/2024 của Bộ Tài chính ban hành chuẩn mực thẩm định giá Việt Nam về thẩm định giá tài sản vô hình;</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42/2024/TT-BTC ngày 06/6/2024 của Bộ Tài chính ban hành chuẩn mực thẩm định giá Việt Nam về thẩm định giá bất động sản;</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45/2013/TT-BTC ngày 24/5/2013 của Bộ Tài chính về việc hướng dẫn chế độ quản lý, sử dụng và trích khấu hao tài sản cố định;</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4"/>
          <w:sz w:val="24"/>
        </w:rPr>
        <w:t xml:space="preserve">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w:t>
      </w:r>
      <w:r>
        <w:rPr>
          <w:rFonts w:ascii="Times New Roman" w:hAnsi="Times New Roman" w:eastAsia="Times New Roman" w:cs="Times New Roman"/>
          <w:color w:val="000000"/>
          <w:spacing w:val="-4"/>
          <w:sz w:val="24"/>
        </w:rPr>
        <w:t xml:space="preserve">ài sản cố định;</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Và các văn bản pháp luật có liên quan khác.</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3.2. Các văn bản liên quan khác:</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a. Hồ sơ pháp lý của tài sản: </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pacing w:val="3"/>
          <w:sz w:val="24"/>
          <w:highlight w:val="white"/>
        </w:rPr>
        <w:t xml:space="preserve">Giấy chứng nhận quyền sử dụng đất, quyền sở hữu nhà ở và tài sản khác gắn liền với đất số: CQ 262418, số vào sổ cấp GCN: CH00484 do UBND huyện Thường Tín cấp ngày 13/3/2019; Chủ sử dụng đất là Ông Nguyễn Hùng Quyền và Bà Nguyễn Thị T</w:t>
      </w:r>
      <w:r>
        <w:rPr>
          <w:rFonts w:ascii="Times New Roman" w:hAnsi="Times New Roman" w:eastAsia="Times New Roman" w:cs="Times New Roman"/>
          <w:color w:val="000000"/>
          <w:spacing w:val="3"/>
          <w:sz w:val="24"/>
          <w:highlight w:val="white"/>
        </w:rPr>
        <w:t xml:space="preserve">hủy</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szCs w:val="24"/>
        </w:rP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r>
      <w:r>
        <w:rPr>
          <w:rFonts w:ascii="Times New Roman" w:hAnsi="Times New Roman" w:eastAsia="Times New Roman" w:cs="Times New Roman"/>
          <w:color w:val="000000"/>
          <w:spacing w:val="3"/>
          <w:sz w:val="24"/>
          <w:highlight w:val="white"/>
        </w:rPr>
        <w:t xml:space="preserve">Giấy chứng nhận quyền sử dụng đất, quyền sở hữu nhà ở và tài sản khác gắn liền với đất số: CQ 262419, số vào sổ cấp GCN: CH00483 do UBND huyện Thường Tín cấp ngày 13/3/2019; Chủ sử dụng đất là Ông Nguyễn Hùng Quyền và Bà Nguyễn Thị T</w:t>
      </w:r>
      <w:r>
        <w:rPr>
          <w:rFonts w:ascii="Times New Roman" w:hAnsi="Times New Roman" w:eastAsia="Times New Roman" w:cs="Times New Roman"/>
          <w:color w:val="000000"/>
          <w:spacing w:val="3"/>
          <w:sz w:val="24"/>
          <w:highlight w:val="white"/>
        </w:rPr>
        <w:t xml:space="preserve">hủy</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b. Hồ sơ khác:</w:t>
      </w: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Hợp đồng dịch vụ thẩm định giá số 275/2026/0688/VFI-HĐTĐ.44.A ngày 06/5/2026 giữa Công ty Cổ phần Xây dựng và Phát triển Nam Thăng Long với Công ty Cổ phần Thẩm định và Đầu tư Tài chính Hoa Sen;</w:t>
      </w: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Hồ sơ, tài liệu, chứng từ liên quan đến tài sản thẩm định giá.</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0" w:left="0"/>
        <w:jc w:val="both"/>
        <w:rPr/>
      </w:pPr>
      <w:r>
        <w:rPr>
          <w:rFonts w:ascii="Times New Roman" w:hAnsi="Times New Roman" w:eastAsia="Times New Roman" w:cs="Times New Roman"/>
          <w:b/>
          <w:color w:val="000000"/>
          <w:sz w:val="24"/>
        </w:rPr>
        <w:t xml:space="preserve">III. TỔNG QUAN VỀ THỊ TRƯỜNG CỦA TÀI SẢN THẨM ĐỊNH GIÁ</w:t>
      </w:r>
      <w:r/>
    </w:p>
    <w:p>
      <w:pPr>
        <w:pBdr>
          <w:top w:val="none" w:color="000000" w:sz="4" w:space="0"/>
          <w:left w:val="none" w:color="000000" w:sz="4" w:space="0"/>
          <w:bottom w:val="none" w:color="000000" w:sz="4" w:space="0"/>
          <w:right w:val="none" w:color="000000" w:sz="4" w:space="0"/>
        </w:pBdr>
        <w:spacing w:line="360" w:lineRule="auto"/>
        <w:ind w:right="0" w:firstLine="283" w:left="0"/>
        <w:jc w:val="both"/>
        <w:rPr>
          <w:color w:val="000000" w:themeColor="text1"/>
        </w:rPr>
      </w:pPr>
      <w:r>
        <w:rPr>
          <w:rFonts w:ascii="Times New Roman" w:hAnsi="Times New Roman" w:eastAsia="Times New Roman" w:cs="Times New Roman"/>
          <w:color w:val="000000" w:themeColor="text1"/>
          <w:sz w:val="24"/>
        </w:rPr>
        <w:t xml:space="preserve">Bất động sản Thường Tín (Hà Nội) đang trở thành điểm nóng phía Nam nhờ hạ tầng bứt phá (cao tốc Pháp Vân - Cầu Giẽ, Quốc lộ 1A) và quy hoạch trở thành đô thị vệ tinh. Thị trường nổi bật với phân khúc đất nền, shophouse và các dự án đô thị kiểu mẫu như Him </w:t>
      </w:r>
      <w:r>
        <w:rPr>
          <w:rFonts w:ascii="Times New Roman" w:hAnsi="Times New Roman" w:eastAsia="Times New Roman" w:cs="Times New Roman"/>
          <w:color w:val="000000" w:themeColor="text1"/>
          <w:sz w:val="24"/>
        </w:rPr>
        <w:t xml:space="preserve">Lam Thường Tín, </w:t>
      </w:r>
      <w:r>
        <w:rPr>
          <w:rFonts w:ascii="Times New Roman" w:hAnsi="Times New Roman" w:eastAsia="Times New Roman" w:cs="Times New Roman"/>
          <w:color w:val="000000" w:themeColor="text1"/>
          <w:sz w:val="24"/>
          <w:highlight w:val="yellow"/>
        </w:rPr>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line="360" w:lineRule="auto"/>
        <w:ind w:right="0" w:firstLine="283" w:left="0"/>
        <w:jc w:val="both"/>
        <w:rPr>
          <w:color w:val="000000" w:themeColor="text1"/>
        </w:rPr>
      </w:pPr>
      <w:r>
        <w:rPr>
          <w:rFonts w:ascii="Times New Roman" w:hAnsi="Times New Roman" w:eastAsia="Times New Roman" w:cs="Times New Roman"/>
          <w:b/>
          <w:color w:val="000000" w:themeColor="text1"/>
          <w:sz w:val="24"/>
        </w:rPr>
        <w:t xml:space="preserve">Tổng quan thị trường BĐS Thường Tín</w:t>
      </w:r>
      <w:r>
        <w:rPr>
          <w:color w:val="000000" w:themeColor="text1"/>
        </w:rPr>
      </w:r>
      <w:r>
        <w:rPr>
          <w:color w:val="000000" w:themeColor="text1"/>
        </w:rPr>
      </w:r>
    </w:p>
    <w:p>
      <w:pPr>
        <w:numPr>
          <w:ilvl w:val="0"/>
          <w:numId w:val="45"/>
        </w:numPr>
        <w:pBdr>
          <w:top w:val="none" w:color="000000" w:sz="4" w:space="0"/>
          <w:left w:val="none" w:color="000000" w:sz="4" w:space="0"/>
          <w:bottom w:val="none" w:color="000000" w:sz="4" w:space="0"/>
          <w:right w:val="none" w:color="000000" w:sz="4" w:space="0"/>
        </w:pBdr>
        <w:tabs>
          <w:tab w:val="left" w:leader="none" w:pos="720"/>
        </w:tabs>
        <w:spacing w:line="360" w:lineRule="auto"/>
        <w:ind w:right="0" w:firstLine="283" w:left="0"/>
        <w:jc w:val="both"/>
        <w:rPr>
          <w:color w:val="000000" w:themeColor="text1"/>
        </w:rPr>
      </w:pPr>
      <w:r>
        <w:rPr>
          <w:rFonts w:ascii="Times New Roman" w:hAnsi="Times New Roman" w:eastAsia="Times New Roman" w:cs="Times New Roman"/>
          <w:b/>
          <w:color w:val="000000" w:themeColor="text1"/>
          <w:sz w:val="24"/>
        </w:rPr>
        <w:t xml:space="preserve">Vị trí chiến lược:</w:t>
      </w:r>
      <w:r>
        <w:rPr>
          <w:rFonts w:ascii="Times New Roman" w:hAnsi="Times New Roman" w:eastAsia="Times New Roman" w:cs="Times New Roman"/>
          <w:color w:val="000000" w:themeColor="text1"/>
          <w:sz w:val="24"/>
        </w:rPr>
        <w:t xml:space="preserve"> Thường Tín nằm ở phía Nam Hà Nội, đóng vai trò cửa ngõ giao thương quan trọng, kết nối thủ đô với các tỉnh phía Nam.</w:t>
      </w:r>
      <w:r>
        <w:rPr>
          <w:color w:val="000000" w:themeColor="text1"/>
        </w:rPr>
      </w:r>
      <w:r>
        <w:rPr>
          <w:color w:val="000000" w:themeColor="text1"/>
        </w:rPr>
      </w:r>
    </w:p>
    <w:p>
      <w:pPr>
        <w:numPr>
          <w:ilvl w:val="0"/>
          <w:numId w:val="45"/>
        </w:numPr>
        <w:pBdr>
          <w:top w:val="none" w:color="000000" w:sz="4" w:space="0"/>
          <w:left w:val="none" w:color="000000" w:sz="4" w:space="0"/>
          <w:bottom w:val="none" w:color="000000" w:sz="4" w:space="0"/>
          <w:right w:val="none" w:color="000000" w:sz="4" w:space="0"/>
        </w:pBdr>
        <w:tabs>
          <w:tab w:val="left" w:leader="none" w:pos="720"/>
        </w:tabs>
        <w:spacing w:line="360" w:lineRule="auto"/>
        <w:ind w:right="0" w:firstLine="283" w:left="0"/>
        <w:jc w:val="both"/>
        <w:rPr>
          <w:color w:val="000000" w:themeColor="text1"/>
        </w:rPr>
      </w:pPr>
      <w:r>
        <w:rPr>
          <w:rFonts w:ascii="Times New Roman" w:hAnsi="Times New Roman" w:eastAsia="Times New Roman" w:cs="Times New Roman"/>
          <w:b/>
          <w:color w:val="000000" w:themeColor="text1"/>
          <w:sz w:val="24"/>
        </w:rPr>
        <w:t xml:space="preserve">Hạ tầng bứt phá:</w:t>
      </w:r>
      <w:r>
        <w:rPr>
          <w:rFonts w:ascii="Times New Roman" w:hAnsi="Times New Roman" w:eastAsia="Times New Roman" w:cs="Times New Roman"/>
          <w:color w:val="000000" w:themeColor="text1"/>
          <w:sz w:val="24"/>
        </w:rPr>
        <w:t xml:space="preserve"> Hạ tầng giao thông được ưu tiên phát triển với các tuyến đường huyết mạch bao gồm Quốc lộ 1A, cao tốc Pháp Vân - Cầu Giẽ và tuyến đường sắt Bắc - Nam.</w:t>
      </w:r>
      <w:r>
        <w:rPr>
          <w:color w:val="000000" w:themeColor="text1"/>
        </w:rPr>
      </w:r>
      <w:r>
        <w:rPr>
          <w:color w:val="000000" w:themeColor="text1"/>
        </w:rPr>
      </w:r>
    </w:p>
    <w:p>
      <w:pPr>
        <w:numPr>
          <w:ilvl w:val="0"/>
          <w:numId w:val="45"/>
        </w:numPr>
        <w:pBdr>
          <w:top w:val="none" w:color="000000" w:sz="4" w:space="0"/>
          <w:left w:val="none" w:color="000000" w:sz="4" w:space="0"/>
          <w:bottom w:val="none" w:color="000000" w:sz="4" w:space="0"/>
          <w:right w:val="none" w:color="000000" w:sz="4" w:space="0"/>
        </w:pBdr>
        <w:tabs>
          <w:tab w:val="left" w:leader="none" w:pos="720"/>
        </w:tabs>
        <w:spacing w:line="360" w:lineRule="auto"/>
        <w:ind w:right="0" w:firstLine="283" w:left="0"/>
        <w:jc w:val="both"/>
        <w:rPr>
          <w:color w:val="000000" w:themeColor="text1"/>
        </w:rPr>
      </w:pPr>
      <w:r>
        <w:rPr>
          <w:rFonts w:ascii="Times New Roman" w:hAnsi="Times New Roman" w:eastAsia="Times New Roman" w:cs="Times New Roman"/>
          <w:b/>
          <w:color w:val="000000" w:themeColor="text1"/>
          <w:sz w:val="24"/>
        </w:rPr>
        <w:t xml:space="preserve">Loại hình BĐS phổ biến:</w:t>
      </w:r>
      <w:r>
        <w:rPr>
          <w:color w:val="000000" w:themeColor="text1"/>
        </w:rPr>
      </w:r>
      <w:r>
        <w:rPr>
          <w:color w:val="000000" w:themeColor="text1"/>
        </w:rPr>
      </w:r>
    </w:p>
    <w:p>
      <w:pPr>
        <w:numPr>
          <w:ilvl w:val="1"/>
          <w:numId w:val="45"/>
        </w:numPr>
        <w:pBdr>
          <w:top w:val="none" w:color="000000" w:sz="4" w:space="0"/>
          <w:left w:val="none" w:color="000000" w:sz="4" w:space="0"/>
          <w:bottom w:val="none" w:color="000000" w:sz="4" w:space="0"/>
          <w:right w:val="none" w:color="000000" w:sz="4" w:space="0"/>
        </w:pBdr>
        <w:tabs>
          <w:tab w:val="left" w:leader="none" w:pos="1440"/>
        </w:tabs>
        <w:spacing w:line="360" w:lineRule="auto"/>
        <w:ind w:right="0" w:firstLine="283" w:left="0"/>
        <w:jc w:val="both"/>
        <w:rPr>
          <w:color w:val="000000" w:themeColor="text1"/>
        </w:rPr>
      </w:pPr>
      <w:r>
        <w:rPr>
          <w:rFonts w:ascii="Times New Roman" w:hAnsi="Times New Roman" w:eastAsia="Times New Roman" w:cs="Times New Roman"/>
          <w:b/>
          <w:color w:val="000000" w:themeColor="text1"/>
          <w:sz w:val="24"/>
        </w:rPr>
        <w:t xml:space="preserve">Đất nền/Đất thổ cư:</w:t>
      </w:r>
      <w:r>
        <w:rPr>
          <w:rFonts w:ascii="Times New Roman" w:hAnsi="Times New Roman" w:eastAsia="Times New Roman" w:cs="Times New Roman"/>
          <w:color w:val="000000" w:themeColor="text1"/>
          <w:sz w:val="24"/>
        </w:rPr>
        <w:t xml:space="preserve"> Thu hút nhiều nhà đầu tư nhỏ lẻ do giá cả hợp lý.</w:t>
      </w:r>
      <w:r>
        <w:rPr>
          <w:color w:val="000000" w:themeColor="text1"/>
        </w:rPr>
      </w:r>
      <w:r>
        <w:rPr>
          <w:color w:val="000000" w:themeColor="text1"/>
        </w:rPr>
      </w:r>
    </w:p>
    <w:p>
      <w:pPr>
        <w:numPr>
          <w:ilvl w:val="1"/>
          <w:numId w:val="45"/>
        </w:numPr>
        <w:pBdr>
          <w:top w:val="none" w:color="000000" w:sz="4" w:space="0"/>
          <w:left w:val="none" w:color="000000" w:sz="4" w:space="0"/>
          <w:bottom w:val="none" w:color="000000" w:sz="4" w:space="0"/>
          <w:right w:val="none" w:color="000000" w:sz="4" w:space="0"/>
        </w:pBdr>
        <w:tabs>
          <w:tab w:val="left" w:leader="none" w:pos="1440"/>
        </w:tabs>
        <w:spacing w:line="360" w:lineRule="auto"/>
        <w:ind w:right="0" w:firstLine="283" w:left="0"/>
        <w:jc w:val="both"/>
        <w:rPr>
          <w:color w:val="000000" w:themeColor="text1"/>
        </w:rPr>
      </w:pPr>
      <w:r>
        <w:rPr>
          <w:rFonts w:ascii="Times New Roman" w:hAnsi="Times New Roman" w:eastAsia="Times New Roman" w:cs="Times New Roman"/>
          <w:b/>
          <w:color w:val="000000" w:themeColor="text1"/>
          <w:sz w:val="24"/>
        </w:rPr>
        <w:t xml:space="preserve">Nhà phố/Shophouse:</w:t>
      </w:r>
      <w:r>
        <w:rPr>
          <w:rFonts w:ascii="Times New Roman" w:hAnsi="Times New Roman" w:eastAsia="Times New Roman" w:cs="Times New Roman"/>
          <w:color w:val="000000" w:themeColor="text1"/>
          <w:sz w:val="24"/>
        </w:rPr>
        <w:t xml:space="preserve"> Tiêu biểu như dự án Him Lam Thường Tín (159 căn shophouse)</w:t>
      </w: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IV. THÔNG TIN VỀ TÀI SẢN THẨM ĐỊNH GIÁ</w:t>
      </w:r>
      <w:r/>
    </w:p>
    <w:p>
      <w:pPr>
        <w:pStyle w:val="1045"/>
        <w:numPr>
          <w:ilvl w:val="0"/>
          <w:numId w:val="50"/>
        </w:numPr>
        <w:pBdr>
          <w:top w:val="none" w:color="000000" w:sz="4" w:space="0"/>
          <w:left w:val="none" w:color="000000" w:sz="4" w:space="0"/>
          <w:bottom w:val="none" w:color="000000" w:sz="4" w:space="0"/>
          <w:right w:val="none" w:color="000000" w:sz="4" w:space="0"/>
        </w:pBdr>
        <w:spacing w:line="233" w:lineRule="auto"/>
        <w:ind w:right="0"/>
        <w:jc w:val="both"/>
        <w:rPr>
          <w:bCs w:val="0"/>
          <w:i w:val="0"/>
          <w:u w:val="none"/>
        </w:rPr>
      </w:pPr>
      <w:r>
        <w:rPr>
          <w:rFonts w:ascii="Times New Roman" w:hAnsi="Times New Roman" w:eastAsia="Times New Roman" w:cs="Times New Roman"/>
          <w:b/>
          <w:i w:val="0"/>
          <w:iCs w:val="0"/>
          <w:color w:val="000000"/>
          <w:sz w:val="24"/>
          <w:u w:val="none"/>
        </w:rPr>
        <w:t xml:space="preserve">Tài sản 01: </w:t>
      </w:r>
      <w:r>
        <w:rPr>
          <w:i w:val="0"/>
          <w:iCs w:val="0"/>
          <w:u w:val="none"/>
        </w:rPr>
      </w:r>
      <w:r>
        <w:rPr>
          <w:bCs w:val="0"/>
          <w:i w:val="0"/>
          <w:u w:val="none"/>
        </w:rPr>
      </w:r>
    </w:p>
    <w:p>
      <w:pPr>
        <w:pBdr>
          <w:top w:val="none" w:color="000000" w:sz="4" w:space="0"/>
          <w:left w:val="none" w:color="000000" w:sz="4" w:space="0"/>
          <w:bottom w:val="none" w:color="000000" w:sz="4" w:space="0"/>
          <w:right w:val="none" w:color="000000" w:sz="4" w:space="0"/>
        </w:pBdr>
        <w:spacing w:line="233" w:lineRule="auto"/>
        <w:ind w:right="0" w:firstLine="0" w:left="709"/>
        <w:jc w:val="both"/>
        <w:rPr/>
      </w:pPr>
      <w:r>
        <w:rPr>
          <w:rFonts w:ascii="Times New Roman" w:hAnsi="Times New Roman" w:eastAsia="Times New Roman" w:cs="Times New Roman"/>
          <w:b/>
          <w:i/>
          <w:color w:val="000000"/>
          <w:sz w:val="24"/>
          <w:highlight w:val="none"/>
          <w:u w:val="single"/>
        </w:rPr>
      </w:r>
      <w:r>
        <w:rPr>
          <w:rFonts w:ascii="Times New Roman" w:hAnsi="Times New Roman" w:eastAsia="Times New Roman" w:cs="Times New Roman"/>
          <w:b/>
          <w:i/>
          <w:color w:val="000000"/>
          <w:sz w:val="24"/>
          <w:highlight w:val="none"/>
          <w:u w:val="single"/>
        </w:rPr>
      </w: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5"/>
        <w:gridCol w:w="2379"/>
        <w:gridCol w:w="2126"/>
        <w:gridCol w:w="2126"/>
        <w:gridCol w:w="2148"/>
      </w:tblGrid>
      <w:tr>
        <w:trPr>
          <w:trHeight w:val="1692"/>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b/>
                <w:bCs/>
              </w:rPr>
            </w:pPr>
            <w:r>
              <w:rPr>
                <w:rFonts w:ascii="Times New Roman" w:hAnsi="Times New Roman" w:eastAsia="Times New Roman" w:cs="Times New Roman"/>
                <w:b/>
                <w:bCs/>
                <w:color w:val="000000"/>
                <w:spacing w:val="3"/>
                <w:sz w:val="24"/>
                <w:highlight w:val="white"/>
              </w:rPr>
              <w:t xml:space="preserve">Quyền sử dụng đất tại thửa đất số: OM.07-10, tờ bản đồ số: Quy hoạch phân lô, địa chỉ: Thị trấn Thường Tín, huyện Thường Tín (</w:t>
            </w:r>
            <w:r>
              <w:rPr>
                <w:rFonts w:ascii="Times New Roman" w:hAnsi="Times New Roman" w:eastAsia="Times New Roman" w:cs="Times New Roman"/>
                <w:b/>
                <w:bCs/>
                <w:i/>
                <w:color w:val="000000"/>
                <w:spacing w:val="3"/>
                <w:sz w:val="24"/>
                <w:highlight w:val="white"/>
              </w:rPr>
              <w:t xml:space="preserve">nay là xã Thường Tín)</w:t>
            </w:r>
            <w:r>
              <w:rPr>
                <w:rFonts w:ascii="Times New Roman" w:hAnsi="Times New Roman" w:eastAsia="Times New Roman" w:cs="Times New Roman"/>
                <w:b/>
                <w:bCs/>
                <w:color w:val="000000"/>
                <w:spacing w:val="3"/>
                <w:sz w:val="24"/>
                <w:highlight w:val="white"/>
              </w:rPr>
              <w:t xml:space="preserve">,</w:t>
            </w:r>
            <w:r>
              <w:rPr>
                <w:rFonts w:ascii="Times New Roman" w:hAnsi="Times New Roman" w:eastAsia="Times New Roman" w:cs="Times New Roman"/>
                <w:b/>
                <w:bCs/>
                <w:color w:val="000000"/>
                <w:spacing w:val="3"/>
                <w:sz w:val="24"/>
                <w:highlight w:val="white"/>
              </w:rPr>
              <w:t xml:space="preserve"> Thành phố Hà Nội theo Giấy chứng nhận quyền sử dụng đất, quyền sở hữu nhà ở và tài sản khác gắn liền với đất số: CQ 262418, số vào sổ cấp GCN: CH00484 do UBND huyện Thường Tín cấp ngày 13/3/2019; Chủ sử dụng đất là Ông Nguyễn Hùng Quyền và Bà Nguyễn Thị T</w:t>
            </w:r>
            <w:r>
              <w:rPr>
                <w:rFonts w:ascii="Times New Roman" w:hAnsi="Times New Roman" w:eastAsia="Times New Roman" w:cs="Times New Roman"/>
                <w:b/>
                <w:bCs/>
                <w:color w:val="000000"/>
                <w:spacing w:val="3"/>
                <w:sz w:val="24"/>
                <w:highlight w:val="white"/>
              </w:rPr>
              <w:t xml:space="preserve">hủy</w:t>
            </w:r>
            <w:r>
              <w:rPr>
                <w:rFonts w:ascii="Times New Roman" w:hAnsi="Times New Roman" w:eastAsia="Times New Roman" w:cs="Times New Roman"/>
                <w:b/>
                <w:bCs/>
                <w:color w:val="000000"/>
                <w:spacing w:val="3"/>
                <w:sz w:val="24"/>
                <w:highlight w:val="none"/>
              </w:rPr>
              <w:t xml:space="preserve">.</w:t>
            </w:r>
            <w:r>
              <w:rPr>
                <w:b/>
                <w:bCs/>
              </w:rPr>
            </w:r>
            <w:r>
              <w:rPr>
                <w:b/>
                <w:bCs/>
              </w:rP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OM.07-10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1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Quy hoạch phân lô</w:t>
            </w:r>
            <w:r/>
          </w:p>
        </w:tc>
      </w:tr>
      <w:tr>
        <w:trPr>
          <w:trHeight w:val="420"/>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Thị trấn Thường Tín, huyện Thường Tín </w:t>
            </w:r>
            <w:r>
              <w:rPr>
                <w:rFonts w:ascii="Times New Roman" w:hAnsi="Times New Roman" w:eastAsia="Times New Roman" w:cs="Times New Roman"/>
                <w:i/>
                <w:color w:val="000000"/>
                <w:sz w:val="24"/>
              </w:rPr>
              <w:t xml:space="preserve">(nay là xã Thường Tín)</w:t>
            </w:r>
            <w:r>
              <w:rPr>
                <w:rFonts w:ascii="Times New Roman" w:hAnsi="Times New Roman" w:eastAsia="Times New Roman" w:cs="Times New Roman"/>
                <w:color w:val="000000"/>
                <w:sz w:val="24"/>
              </w:rPr>
              <w:t xml:space="preserve">, Thành phố Hà Nội</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75,5</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1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Lâu dài</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1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Sử dụng riêng</w:t>
            </w:r>
            <w:r/>
          </w:p>
        </w:tc>
      </w:tr>
      <w:tr>
        <w:trPr>
          <w:trHeight w:val="528"/>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Nhà nước giao đất có thu tiền sử dụng đất</w:t>
            </w:r>
            <w:r/>
          </w:p>
        </w:tc>
      </w:tr>
      <w:tr>
        <w:trPr>
          <w:trHeight w:val="720"/>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468"/>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Vị trí; Giao thông:</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10 đường Nguyễn Vĩnh Tích, tiểu khu Nguyễn Du, thị trấn Thường Tín, huyện Thường Tín, Thành phố Hà Nội</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Đường nhựa </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1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01 mặt tiền</w:t>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Lòng đường 10,5m + vỉa hè 2,5m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1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Lòng đường 10,5m + vỉa hè 2,5m</w:t>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Tài sản nằm tiếp giáp đường Nguyễn Vĩnh Tích (đường trục chính) thuộc tiểu khu Nguyễn Du.</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Giao thông:</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khoảng 10,5m + vỉa hè.</w:t>
            </w:r>
            <w:r/>
          </w:p>
        </w:tc>
      </w:tr>
      <w:tr>
        <w:trPr>
          <w:trHeight w:val="984"/>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Hướng Bắc: tiếp giáp đường Nguyễn Vĩnh Tích;</w:t>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Hướng Nam: tiếp giáp đường bê tông rộng khoảng 2m;</w:t>
              <w:br/>
              <w:t xml:space="preserve">+ Các hướng khác: tiếp giáp các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Vị trí trên bản đồ vệ tinh: 20.873781, 105.861126</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mc:AlternateContent>
                <mc:Choice Requires="wpg">
                  <w:drawing>
                    <wp:inline xmlns:wp="http://schemas.openxmlformats.org/drawingml/2006/wordprocessingDrawing" distT="0" distB="0" distL="0" distR="0">
                      <wp:extent cx="5438775" cy="253365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808050" name=""/>
                              <pic:cNvPicPr>
                                <a:picLocks noChangeAspect="1"/>
                              </pic:cNvPicPr>
                              <pic:nvPr/>
                            </pic:nvPicPr>
                            <pic:blipFill rotWithShape="1">
                              <a:blip r:embed="rId17"/>
                              <a:stretch/>
                            </pic:blipFill>
                            <pic:spPr bwMode="auto">
                              <a:xfrm>
                                <a:off x="0" y="0"/>
                                <a:ext cx="5438774" cy="25336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25pt;height:199.50pt;mso-wrap-distance-left:0.00pt;mso-wrap-distance-top:0.00pt;mso-wrap-distance-right:0.00pt;mso-wrap-distance-bottom:0.00pt;z-index:1;" stroked="false">
                      <v:imagedata r:id="rId17" o:title=""/>
                      <o:lock v:ext="edit" rotation="t"/>
                    </v:shape>
                  </w:pict>
                </mc:Fallback>
              </mc:AlternateContent>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75,5</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1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1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15,1</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KT mặt hậu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1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Vuông vức</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Hướng mặt tiền chính: </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Bắc</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516"/>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internet,…hoàn thiện</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1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Ổn định</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1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Tốt </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Tài sản trên đất:</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ại thời điểm thẩm định giá, trên đất có công trình xây dựng là 01 Nhà 02 tầng + 1 tum, kết cấu BTCT, được xây dựng trên 02 thửa đất liền kề nhau (cùng chủ sử dụng đất) là: OM.07-10 và OM.07-11, tờ bản đồ: Quy hoạch phân lô. Công trình có ngoại quan mới, hi</w:t>
            </w:r>
            <w:r>
              <w:rPr>
                <w:rFonts w:ascii="Times New Roman" w:hAnsi="Times New Roman" w:eastAsia="Times New Roman" w:cs="Times New Roman"/>
                <w:color w:val="000000"/>
                <w:sz w:val="24"/>
              </w:rPr>
              <w:t xml:space="preserve">ện trạng được sử dụng làm văn phòng công ty. Hiện tại công trình chưa được chứng nhận trên GCN số: CQ 262418; và CQ 262419.</w:t>
            </w:r>
            <w:r/>
          </w:p>
        </w:tc>
      </w:tr>
    </w:tbl>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b/>
          <w:i/>
          <w:color w:val="000000"/>
          <w:sz w:val="24"/>
          <w:u w:val="none"/>
        </w:rPr>
        <w:t xml:space="preserve"> </w:t>
      </w:r>
      <w:r/>
    </w:p>
    <w:p>
      <w:pPr>
        <w:pStyle w:val="1045"/>
        <w:numPr>
          <w:ilvl w:val="0"/>
          <w:numId w:val="51"/>
        </w:numPr>
        <w:pBdr>
          <w:top w:val="none" w:color="000000" w:sz="4" w:space="0"/>
          <w:left w:val="none" w:color="000000" w:sz="4" w:space="0"/>
          <w:bottom w:val="none" w:color="000000" w:sz="4" w:space="0"/>
          <w:right w:val="none" w:color="000000" w:sz="4" w:space="0"/>
        </w:pBdr>
        <w:spacing w:line="233" w:lineRule="auto"/>
        <w:ind w:right="0"/>
        <w:jc w:val="both"/>
        <w:rPr>
          <w:bCs w:val="0"/>
          <w:i w:val="0"/>
          <w:u w:val="none"/>
        </w:rPr>
      </w:pPr>
      <w:r>
        <w:rPr>
          <w:rFonts w:ascii="Times New Roman" w:hAnsi="Times New Roman" w:eastAsia="Times New Roman" w:cs="Times New Roman"/>
          <w:b/>
          <w:i w:val="0"/>
          <w:iCs w:val="0"/>
          <w:color w:val="000000"/>
          <w:sz w:val="24"/>
          <w:u w:val="none"/>
        </w:rPr>
        <w:t xml:space="preserve">Tài sản 02:</w:t>
      </w:r>
      <w:r>
        <w:rPr>
          <w:i w:val="0"/>
          <w:iCs w:val="0"/>
          <w:u w:val="none"/>
        </w:rPr>
      </w:r>
      <w:r>
        <w:rPr>
          <w:bCs w:val="0"/>
          <w:i w:val="0"/>
          <w:u w:val="none"/>
        </w:rPr>
      </w:r>
    </w:p>
    <w:p>
      <w:pPr>
        <w:pBdr>
          <w:top w:val="none" w:color="000000" w:sz="4" w:space="0"/>
          <w:left w:val="none" w:color="000000" w:sz="4" w:space="0"/>
          <w:bottom w:val="none" w:color="000000" w:sz="4" w:space="0"/>
          <w:right w:val="none" w:color="000000" w:sz="4" w:space="0"/>
        </w:pBdr>
        <w:spacing w:line="233" w:lineRule="auto"/>
        <w:ind w:right="0" w:firstLine="0" w:left="709"/>
        <w:jc w:val="both"/>
        <w:rPr/>
      </w:pPr>
      <w:r>
        <w:rPr>
          <w:rFonts w:ascii="Times New Roman" w:hAnsi="Times New Roman" w:eastAsia="Times New Roman" w:cs="Times New Roman"/>
          <w:b/>
          <w:i/>
          <w:color w:val="000000"/>
          <w:sz w:val="24"/>
          <w:highlight w:val="none"/>
          <w:u w:val="single"/>
        </w:rPr>
      </w:r>
      <w:r>
        <w:rPr>
          <w:rFonts w:ascii="Times New Roman" w:hAnsi="Times New Roman" w:eastAsia="Times New Roman" w:cs="Times New Roman"/>
          <w:b/>
          <w:i/>
          <w:color w:val="000000"/>
          <w:sz w:val="24"/>
          <w:highlight w:val="none"/>
          <w:u w:val="single"/>
        </w:rPr>
      </w: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5"/>
        <w:gridCol w:w="2379"/>
        <w:gridCol w:w="2126"/>
        <w:gridCol w:w="2126"/>
        <w:gridCol w:w="2148"/>
      </w:tblGrid>
      <w:tr>
        <w:trPr>
          <w:trHeight w:val="1692"/>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b/>
                <w:bCs/>
              </w:rPr>
            </w:pPr>
            <w:r>
              <w:rPr>
                <w:rFonts w:ascii="Times New Roman" w:hAnsi="Times New Roman" w:eastAsia="Times New Roman" w:cs="Times New Roman"/>
                <w:b/>
                <w:bCs/>
                <w:color w:val="000000"/>
                <w:spacing w:val="3"/>
                <w:sz w:val="24"/>
                <w:highlight w:val="white"/>
              </w:rPr>
              <w:t xml:space="preserve">Quyền sử dụng đất tại thửa đất số: OM.07-11, tờ bản đồ số: Quy hoạch phân lô, địa chỉ: Thị trấn Thường Tín, huyện Thường Tín (</w:t>
            </w:r>
            <w:r>
              <w:rPr>
                <w:rFonts w:ascii="Times New Roman" w:hAnsi="Times New Roman" w:eastAsia="Times New Roman" w:cs="Times New Roman"/>
                <w:b/>
                <w:bCs/>
                <w:i/>
                <w:color w:val="000000"/>
                <w:spacing w:val="3"/>
                <w:sz w:val="24"/>
                <w:highlight w:val="white"/>
              </w:rPr>
              <w:t xml:space="preserve">nay là xã Thường Tín)</w:t>
            </w:r>
            <w:r>
              <w:rPr>
                <w:rFonts w:ascii="Times New Roman" w:hAnsi="Times New Roman" w:eastAsia="Times New Roman" w:cs="Times New Roman"/>
                <w:b/>
                <w:bCs/>
                <w:color w:val="000000"/>
                <w:spacing w:val="3"/>
                <w:sz w:val="24"/>
                <w:highlight w:val="white"/>
              </w:rPr>
              <w:t xml:space="preserve">,</w:t>
            </w:r>
            <w:r>
              <w:rPr>
                <w:rFonts w:ascii="Times New Roman" w:hAnsi="Times New Roman" w:eastAsia="Times New Roman" w:cs="Times New Roman"/>
                <w:b/>
                <w:bCs/>
                <w:color w:val="000000"/>
                <w:spacing w:val="3"/>
                <w:sz w:val="24"/>
                <w:highlight w:val="white"/>
              </w:rPr>
              <w:t xml:space="preserve"> Thành phố Hà Nội theo Giấy chứng nhận quyền sử dụng đất, quyền sở hữu nhà ở và tài sản khác gắn liền với đất số: CQ 262419, số vào sổ cấp GCN: CH00483 do UBND huyện Thường Tín cấp ngày 13/3/2019; Chủ sử dụng đất là Ông Nguyễn Hùng Quyền và Bà Nguyễn Thị T</w:t>
            </w:r>
            <w:r>
              <w:rPr>
                <w:rFonts w:ascii="Times New Roman" w:hAnsi="Times New Roman" w:eastAsia="Times New Roman" w:cs="Times New Roman"/>
                <w:b/>
                <w:bCs/>
                <w:color w:val="000000"/>
                <w:spacing w:val="3"/>
                <w:sz w:val="24"/>
                <w:highlight w:val="white"/>
              </w:rPr>
              <w:t xml:space="preserve">hủy</w:t>
            </w:r>
            <w:r>
              <w:rPr>
                <w:rFonts w:ascii="Times New Roman" w:hAnsi="Times New Roman" w:eastAsia="Times New Roman" w:cs="Times New Roman"/>
                <w:b/>
                <w:bCs/>
                <w:color w:val="000000"/>
                <w:sz w:val="24"/>
              </w:rPr>
              <w:t xml:space="preserve">.</w:t>
            </w:r>
            <w:r>
              <w:rPr>
                <w:b/>
                <w:bCs/>
              </w:rPr>
            </w:r>
            <w:r>
              <w:rPr>
                <w:b/>
                <w:bCs/>
              </w:rP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OM.07-11</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1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Quy hoạch phân lô</w:t>
            </w:r>
            <w:r/>
          </w:p>
        </w:tc>
      </w:tr>
      <w:tr>
        <w:trPr>
          <w:trHeight w:val="420"/>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Thị trấn Thường Tín, huyện Thường Tín </w:t>
            </w:r>
            <w:r>
              <w:rPr>
                <w:rFonts w:ascii="Times New Roman" w:hAnsi="Times New Roman" w:eastAsia="Times New Roman" w:cs="Times New Roman"/>
                <w:i/>
                <w:color w:val="000000"/>
                <w:sz w:val="24"/>
              </w:rPr>
              <w:t xml:space="preserve">(nay là xã Thường Tín),</w:t>
            </w:r>
            <w:r>
              <w:rPr>
                <w:rFonts w:ascii="Times New Roman" w:hAnsi="Times New Roman" w:eastAsia="Times New Roman" w:cs="Times New Roman"/>
                <w:color w:val="000000"/>
                <w:sz w:val="24"/>
              </w:rPr>
              <w:t xml:space="preserve"> Thành phố Hà Nội</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75,5</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1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Lâu dài</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1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Sử dụng riêng</w:t>
            </w:r>
            <w:r/>
          </w:p>
        </w:tc>
      </w:tr>
      <w:tr>
        <w:trPr>
          <w:trHeight w:val="528"/>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Nhà nước giao đất có thu tiền sử dụng đất</w:t>
            </w:r>
            <w:r/>
          </w:p>
        </w:tc>
      </w:tr>
      <w:tr>
        <w:trPr>
          <w:trHeight w:val="720"/>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468"/>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Vị trí; Giao thông:</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10 đường Nguyễn Vĩnh Tích, tiểu khu Nguyễn Du, Xã Thường Tín, Thành phố Hà Nội</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1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01 mặt tiền</w:t>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Lòng đường 10,5m + vỉa hè 2,5m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1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Lòng đường 10,5m + vỉa hè 2,5m</w:t>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Tài sản nằm tiếp giáp đường Nguyễn Vĩnh Tích (đường trục chính) thuộc tiểu khu Nguyễn Du.</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Giao thông:</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khoảng 10,5m + vỉa hè</w:t>
            </w:r>
            <w:r/>
          </w:p>
        </w:tc>
      </w:tr>
      <w:tr>
        <w:trPr>
          <w:trHeight w:val="984"/>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Hướng Bắc: tiếp giáp đường Nguyễn Vĩnh Tích;</w:t>
              <w:br/>
              <w:t xml:space="preserve">+ Hướng Nam: tiếp giáp đường bê tông rộng khoảng 2m;</w:t>
              <w:br/>
              <w:t xml:space="preserve">+ Các hướng khác: tiếp giáp các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Vị trí trên bản đồ vệ tinh: 20.873781, 105.861126</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top"/>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mc:AlternateContent>
                <mc:Choice Requires="wpg">
                  <w:drawing>
                    <wp:inline xmlns:wp="http://schemas.openxmlformats.org/drawingml/2006/wordprocessingDrawing" distT="0" distB="0" distL="0" distR="0">
                      <wp:extent cx="5438775" cy="253365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390310" name=""/>
                              <pic:cNvPicPr>
                                <a:picLocks noChangeAspect="1"/>
                              </pic:cNvPicPr>
                              <pic:nvPr/>
                            </pic:nvPicPr>
                            <pic:blipFill rotWithShape="1">
                              <a:blip r:embed="rId18"/>
                              <a:stretch/>
                            </pic:blipFill>
                            <pic:spPr bwMode="auto">
                              <a:xfrm>
                                <a:off x="0" y="0"/>
                                <a:ext cx="5438774" cy="25336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8.25pt;height:199.50pt;mso-wrap-distance-left:0.00pt;mso-wrap-distance-top:0.00pt;mso-wrap-distance-right:0.00pt;mso-wrap-distance-bottom:0.00pt;z-index:1;" stroked="false">
                      <v:imagedata r:id="rId18" o:title=""/>
                      <o:lock v:ext="edit" rotation="t"/>
                    </v:shape>
                  </w:pict>
                </mc:Fallback>
              </mc:AlternateContent>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75,5</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1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1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15,1</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KT mặt hậu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1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Vuông vức</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Hướng mặt tiền chính: </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Bắc</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516"/>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internet,…hoàn thiện</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4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1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Ổn định</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1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Tốt </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Tài sản trên đất:</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3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77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ại thời điểm thẩm định giá, trên đất có công trình xây dựng là 01 Nhà 02 tầng + 1 tum, kết cấu BTCT, được xây dựng trên0 2 thửa đất liền kề nhau (cùng chủ sử dụng đất) là: OM.07-10 và OM.07-11, tờ bản đồ: Quy hoạch phân lô. Công trình có ngoại quan mới, hi</w:t>
            </w:r>
            <w:r>
              <w:rPr>
                <w:rFonts w:ascii="Times New Roman" w:hAnsi="Times New Roman" w:eastAsia="Times New Roman" w:cs="Times New Roman"/>
                <w:color w:val="000000"/>
                <w:sz w:val="24"/>
              </w:rPr>
              <w:t xml:space="preserve">ện trạng được sử dụng làm văn phòng công ty. Hiện tại công trình chưa được chứng nhận trên GCN số: CQ 262418; và CQ 262419.</w:t>
            </w:r>
            <w:r/>
          </w:p>
        </w:tc>
      </w:tr>
    </w:tbl>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b/>
          <w:i/>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single"/>
        </w:rPr>
        <w:t xml:space="preserve">Các lợi thế thương mại của thửa đất:</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none"/>
        </w:rPr>
        <w:t xml:space="preserve"> </w:t>
      </w:r>
      <w:r/>
    </w:p>
    <w:tbl>
      <w:tblPr>
        <w:tblStyle w:val="1049"/>
        <w:tblInd w:w="0" w:type="dxa"/>
        <w:tblW w:w="5015" w:type="pct"/>
        <w:tblCellMar>
          <w:left w:w="0" w:type="dxa"/>
          <w:top w:w="0" w:type="dxa"/>
          <w:right w:w="0" w:type="dxa"/>
          <w:bottom w:w="0" w:type="dxa"/>
        </w:tblCellMar>
        <w:tblBorders>
          <w:top w:val="single" w:color="000000" w:sz="8" w:space="0"/>
          <w:left w:val="single" w:color="000000" w:sz="8" w:space="0"/>
          <w:bottom w:val="single" w:color="000000" w:sz="6" w:space="0"/>
          <w:right w:val="single" w:color="000000" w:sz="6" w:space="0"/>
          <w:insideH w:val="single" w:color="000000" w:sz="4" w:space="0"/>
          <w:insideV w:val="single" w:color="000000" w:sz="4" w:space="0"/>
        </w:tblBorders>
        <w:tblLayout w:type="fixed"/>
        <w:tblLook w:val="04A0" w:firstRow="1" w:lastRow="0" w:firstColumn="1" w:lastColumn="0" w:noHBand="0" w:noVBand="1"/>
      </w:tblPr>
      <w:tblGrid>
        <w:gridCol w:w="1037"/>
        <w:gridCol w:w="3685"/>
        <w:gridCol w:w="2443"/>
        <w:gridCol w:w="2443"/>
      </w:tblGrid>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Nội dung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Ghi chú</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Đất/Tài sản bám biển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bám hồ (Diện tích &gt;=5ha thì được coi là hồ)</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Bám đầm, ao lớn thuộc sở hữu nhà nước (ao lớn - S=0.5ha)&lt;5ha</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Thế đất tọa sơn hướng thủy 'hậu tựa núi, trước view sông, hồ, đầm', view thoáng, không bị che khuất, loại đất rất được ưa chuộng nghỉ dưỡng, nhà nghỉ cao cấp</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View hồ sông, sông, suối, đầm, ao lớn (S=0.5ha), ruộng lúa, đồi núi xa, ngắm hoàng hôn, bình minh xa soi mặt nước, thơ mộng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Đường vào thoáng không đâm thẳng cửa chính 'Thế tránh tiễn khí'</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Có yếu tố 'Linh' gắn với tiếng lành, tài lộc, đại danh, văn hóa, truyền thuyết được xem là khu địa linh nhân kiệt</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Đất/tài sản liền kề, đối diện vườn hoa, khu thể thao, bể bơi (không đối diện nhà ở) để được xe hơi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view công viên, vườn hoa, khu thể thao, bể bơi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single"/>
        </w:rPr>
        <w:t xml:space="preserve">Các bất lợi thương mại của thửa đất:</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none"/>
        </w:rPr>
        <w:t xml:space="preserve"> </w:t>
      </w:r>
      <w:r/>
    </w:p>
    <w:tbl>
      <w:tblPr>
        <w:tblStyle w:val="1049"/>
        <w:tblInd w:w="0" w:type="dxa"/>
        <w:tblW w:w="4980" w:type="pct"/>
        <w:tblCellMar>
          <w:left w:w="0" w:type="dxa"/>
          <w:top w:w="0" w:type="dxa"/>
          <w:right w:w="0" w:type="dxa"/>
          <w:bottom w:w="0" w:type="dxa"/>
        </w:tblCellMar>
        <w:tblBorders>
          <w:top w:val="single" w:color="000000" w:sz="8" w:space="0"/>
          <w:left w:val="single" w:color="000000" w:sz="8" w:space="0"/>
          <w:bottom w:val="single" w:color="000000" w:sz="6" w:space="0"/>
          <w:right w:val="single" w:color="000000" w:sz="6" w:space="0"/>
          <w:insideH w:val="single" w:color="000000" w:sz="4" w:space="0"/>
          <w:insideV w:val="single" w:color="000000" w:sz="4" w:space="0"/>
        </w:tblBorders>
        <w:tblLayout w:type="fixed"/>
        <w:tblLook w:val="04A0" w:firstRow="1" w:lastRow="0" w:firstColumn="1" w:lastColumn="0" w:noHBand="0" w:noVBand="1"/>
      </w:tblPr>
      <w:tblGrid>
        <w:gridCol w:w="1037"/>
        <w:gridCol w:w="3685"/>
        <w:gridCol w:w="2395"/>
        <w:gridCol w:w="2424"/>
      </w:tblGrid>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Nội dung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Ghi chú</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khu vực tâm linh, có âm, sát khí (Nhà tang lễ, nghĩa trang, nhà xác…)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khu vực tâm linh, có âm, sát khí (Nhà tang lễ, nghĩa trang, nhà xác…) (50m &lt;= 150m)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khu vực tâm linh, có âm, sát khí (Nhà tang lễ, nghĩa trang, nhà xác…) (150m &lt;= 300m)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khu vực tâm linh, có âm, sát khí (Nhà tang lễ, nghĩa trang, nhà xác…) (300m &lt;= 500m)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khu vực tâm linh (Miếu thờ cúng tâm linh, đình, đền, chùa…) &lt;= 30m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khu vực tâm linh (Miếu thờ cúng tâm linh, đình, đền, chùa…) (30m &lt;= 100m)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từng là nghĩa trang, khu tâm linh cũ (đền, đình, chùa, miếu mạo…) đã được san lấp làm khu dân cư</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Trên đất/Công trình có mộ không thể hoặc rất khó có khả năng di chuyển (Mộ tổ chi, tộc, mộ cổ, mộ tâm linh gắn với miếu mạo được nhân dân thờ cúng)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Trên đất/ Công trình có mộ gia đình hoặc vô chủ có thể di chuyển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10</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sát khu mộ phần hoặc liền kề mộ phần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Trên đất/ Công trình có điện thờ, nhà thợ họ dòng tộc</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sát hoặc liền kề nhà thờ họ</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gia tộc anh em, họ hàng sống xung quanh chung ngõ đi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Công trình có người tự sát/ án mạng/ tại nạn... bị ảnh hưởng truyền thông Nhẹ “Một vụ tự sát cá biệt không ồn ào, không truyền thông, trong nhà riêng, người Mua/Bán đông ít quan tâm: thị trường ít phản ứng, nếu có phản ứng chỉ là tâm lý tạm thời.”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Công trình có người tự sát/án mạng/ tai nạn... bị ảnh hưởng truyền thông Trung bình “Một vụ tự sát được biết trong khu vực nhưng có ít lời đồn, nhưng có thể che dấu/ khắc phục nhanh (sơn sửa, thay nội thất: phổ biến ở căn hộ chung cư, nhà phố ảnh hưởn</w:t>
            </w:r>
            <w:r>
              <w:rPr>
                <w:rFonts w:ascii="Times New Roman" w:hAnsi="Times New Roman" w:eastAsia="Times New Roman" w:cs="Times New Roman"/>
                <w:color w:val="000000"/>
                <w:sz w:val="24"/>
              </w:rPr>
              <w:t xml:space="preserve">g của nó giảm theo thời gian”.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Công trình có người tự sát/án mạng/ tai nạn... bị ảnh hưởng truyền thông Mạnh “Vụ có yếu tố bạo lực, hoặc được đăng báo địa phương; khu dân cư tỏ ra e ngại; mua ở chịu ảnh hưởng. Mức này thường dùng khi có giao dịch thực tế cho thấy có sự kiện bị bán </w:t>
            </w:r>
            <w:r>
              <w:rPr>
                <w:rFonts w:ascii="Times New Roman" w:hAnsi="Times New Roman" w:eastAsia="Times New Roman" w:cs="Times New Roman"/>
                <w:color w:val="000000"/>
                <w:sz w:val="24"/>
              </w:rPr>
              <w:t xml:space="preserve">rẻ hơn”.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Công trình có người tự sát/án mạng/ tai nạn... bị ảnh hưởng truyền thông Rất Mạnh “Vụ nổi tiếng, nhiều truyền thông, nhiều vụ tương tự tại cùng vị trí, hoặc địa điểm mang tính 'tăm tối' (ví dụ: nhiều vụ xảy ra liên tiếp hoặc lời đồn qua nhiều năm có m</w:t>
            </w:r>
            <w:r>
              <w:rPr>
                <w:rFonts w:ascii="Times New Roman" w:hAnsi="Times New Roman" w:eastAsia="Times New Roman" w:cs="Times New Roman"/>
                <w:color w:val="000000"/>
                <w:sz w:val="24"/>
              </w:rPr>
              <w:t xml:space="preserve">a, quỉ, hiện tượng tâm linh nhiều năm. Mức này dẫn tới tài sản rất khó bán thậm trí có thể loại trừ trong so sánh”.</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hoặc liên kế cây xăng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hoặc liên kế trạm thu phát sóng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20</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hoặc liên kế đường dây truyền tải điện cao thế 500 KV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hoặc liên kế đường dây truyền tải điện 220 KV &lt;= 30m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Mặt tiền bị che chắn (có cột điện, trạm biến áp…)</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đường sắt&lt;=50m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Đường vào thẳng tắp như mũi tên đâm thẳng cửa chính “Thế tiễn khí”.</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nằm dưới chân cầu, đường dốc cao (Thế bị xung : Hổ phục, Long phục) xe lao xuống, gió tạt thẳng sát khí, không tụ.</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Giao lộ Chữ “T”, bị đường đâm thẳng vào “Thế tiền đao sát”.</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color w:val="000000"/>
          <w:sz w:val="24"/>
          <w:u w:val="none"/>
        </w:rPr>
        <w:t xml:space="preserve"> </w:t>
      </w:r>
      <w:r>
        <w:rPr>
          <w:rFonts w:ascii="Times New Roman" w:hAnsi="Times New Roman" w:eastAsia="Times New Roman" w:cs="Times New Roman"/>
          <w:b/>
          <w:color w:val="000000"/>
          <w:sz w:val="24"/>
        </w:rPr>
        <w:t xml:space="preserve">V. CÁC GIẢ THIẾT VÀ GIẢ THIẾT ĐẶC BIỆT</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pacing w:val="-2"/>
          <w:sz w:val="24"/>
        </w:rPr>
        <w:t xml:space="preserve"> trừ mọi trách nhiệm phát sinh, liên đới (nếu có) trong trường hợp này.</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ại thời điểm thẩm định giá, trên đất có công trình xây dựng là 01 Nhà 02 tầng + 1 tum, kết cấu BTCT, được xây dựng trên 02 thửa đất liền kề nhau (cùng chủ sử dụng đất) là: OM.07-10 và OM.07-11, tờ bản đồ: Quy hoạch phân lô. Công trình có ngoại quan mới, hi</w:t>
      </w:r>
      <w:r>
        <w:rPr>
          <w:rFonts w:ascii="Times New Roman" w:hAnsi="Times New Roman" w:eastAsia="Times New Roman" w:cs="Times New Roman"/>
          <w:color w:val="000000"/>
          <w:sz w:val="24"/>
        </w:rPr>
        <w:t xml:space="preserve">ện</w:t>
      </w:r>
      <w:r>
        <w:rPr>
          <w:rFonts w:ascii="Times New Roman" w:hAnsi="Times New Roman" w:eastAsia="Times New Roman" w:cs="Times New Roman"/>
          <w:color w:val="000000"/>
          <w:sz w:val="24"/>
        </w:rPr>
        <w:t xml:space="preserve"> trạng được sử dụng làm văn phòng công ty. Hiện tại công trình chưa được chứng nhận trên GCN số: CQ 262418; và CQ 262419. Đồng thời, Tổ thẩm định cũng không nhận được bất kỳ giấy tờ pháp lý nào liên quan đến chủ tài sản. Do vậy theo đề nghị của Khách hàng/</w:t>
      </w:r>
      <w:r>
        <w:rPr>
          <w:rFonts w:ascii="Times New Roman" w:hAnsi="Times New Roman" w:eastAsia="Times New Roman" w:cs="Times New Roman"/>
          <w:color w:val="000000"/>
          <w:sz w:val="24"/>
        </w:rPr>
        <w:t xml:space="preserve">Ngân hàng, Tổ thẩm định không xác định giá trị công trình trên nhưng vẫn coi đó là phần không thể thiếu của tài sản thẩm định.</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z w:val="24"/>
        </w:rPr>
        <w:t xml:space="preserve">Giá trị tài sản thẩm định giá được ước tính dựa trên giả định không có bất kỳ yếu tố nào làm cản trở ảnh hưởng đến việc giao dịch bình thường của tài sản trên thị trường.</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z w:val="24"/>
        </w:rPr>
        <w:t xml:space="preserve">VI. CƠ SỞ GIÁ TRỊ THẨM ĐỊNH GIÁ</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b/>
          <w:color w:val="000000"/>
          <w:sz w:val="24"/>
        </w:rPr>
        <w:t xml:space="preserve">Giá trị thị trường:</w:t>
      </w:r>
      <w:r>
        <w:rPr>
          <w:rFonts w:ascii="Times New Roman" w:hAnsi="Times New Roman" w:eastAsia="Times New Roman" w:cs="Times New Roman"/>
          <w:color w:val="000000"/>
          <w:sz w:val="24"/>
        </w:rPr>
        <w:t xml:space="preserve"> Kết quả thẩm định giá trị tài sản được xác định dựa trên cơ sở giá trị thị trường tại thời điểm thẩm định theo Chuẩn mực thẩm định giá Việt Nam về Cơ sở giá trị thẩm định giá: </w:t>
      </w:r>
      <w:r>
        <w:rPr>
          <w:rFonts w:ascii="Times New Roman" w:hAnsi="Times New Roman" w:eastAsia="Times New Roman" w:cs="Times New Roman"/>
          <w:i/>
          <w:color w:val="000000"/>
          <w:sz w:val="24"/>
        </w:rPr>
        <w:t xml:space="preserve">“Giá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w:t>
      </w:r>
      <w:r>
        <w:rPr>
          <w:rFonts w:ascii="Times New Roman" w:hAnsi="Times New Roman" w:eastAsia="Times New Roman" w:cs="Times New Roman"/>
          <w:i/>
          <w:color w:val="000000"/>
          <w:sz w:val="24"/>
        </w:rPr>
        <w:t xml:space="preserve">u biết, thận trọng và không bị ép buộc”</w:t>
      </w: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VII. CÁCH TIẾP CẬN, PHƯƠNG PHÁP THẨM ĐỊNH GIÁ</w:t>
      </w:r>
      <w:r/>
    </w:p>
    <w:p>
      <w:pPr>
        <w:numPr>
          <w:ilvl w:val="0"/>
          <w:numId w:val="44"/>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Cách tiếp cận và phương pháp thẩm định:</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Cách tiếp cận từ thị trường: </w:t>
      </w:r>
      <w:r>
        <w:rPr>
          <w:rFonts w:ascii="Times New Roman" w:hAnsi="Times New Roman" w:eastAsia="Times New Roman" w:cs="Times New Roman"/>
          <w:color w:val="000000"/>
          <w:sz w:val="24"/>
        </w:rPr>
        <w:t xml:space="preserve">Xác định giá trị của tài sản thẩm định giá thông qua việc so sánh tài sản thẩm định giá với các tài sản so sánh đã có các thông tin về giá trên thị trường.</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Phương pháp so sánh:</w:t>
      </w:r>
      <w:r>
        <w:rPr>
          <w:rFonts w:ascii="Times New Roman" w:hAnsi="Times New Roman" w:eastAsia="Times New Roman" w:cs="Times New Roman"/>
          <w:color w:val="000000"/>
          <w:sz w:val="24"/>
        </w:rPr>
        <w:t xml:space="preserve"> Xác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w:t>
      </w:r>
      <w:r>
        <w:rPr>
          <w:rFonts w:ascii="Times New Roman" w:hAnsi="Times New Roman" w:eastAsia="Times New Roman" w:cs="Times New Roman"/>
          <w:color w:val="000000"/>
          <w:sz w:val="24"/>
        </w:rPr>
        <w:t xml:space="preserve">nh giá.</w:t>
      </w:r>
      <w:r/>
    </w:p>
    <w:p>
      <w:pPr>
        <w:numPr>
          <w:ilvl w:val="0"/>
          <w:numId w:val="44"/>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cách tiếp cận và phương pháp đối với tài sản thẩm định giá:</w:t>
      </w:r>
      <w:r/>
    </w:p>
    <w:p>
      <w:pPr>
        <w:numPr>
          <w:ilvl w:val="0"/>
          <w:numId w:val="46"/>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 giá trị quyền sử dụng</w:t>
      </w:r>
      <w:r>
        <w:rPr>
          <w:rFonts w:ascii="Times New Roman" w:hAnsi="Times New Roman" w:eastAsia="Times New Roman" w:cs="Times New Roman"/>
          <w:color w:val="000000"/>
          <w:spacing w:val="-4"/>
          <w:sz w:val="24"/>
        </w:rPr>
        <w:t xml:space="preserve"> đất của tài sản thẩm định giá.</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VIII. GIÁ TRỊ TÀI SẢN THẨM ĐỊNH</w:t>
      </w:r>
      <w:r/>
    </w:p>
    <w:p>
      <w:pPr>
        <w:pStyle w:val="1045"/>
        <w:numPr>
          <w:ilvl w:val="0"/>
          <w:numId w:val="4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val="0"/>
          <w:bCs w:val="0"/>
          <w:color w:val="000000"/>
          <w:sz w:val="24"/>
        </w:rPr>
      </w:r>
      <w:r>
        <w:rPr>
          <w:rFonts w:ascii="Times New Roman" w:hAnsi="Times New Roman" w:eastAsia="Times New Roman" w:cs="Times New Roman"/>
          <w:b/>
          <w:color w:val="000000"/>
          <w:sz w:val="24"/>
        </w:rPr>
        <w:t xml:space="preserve">Xác định đơn giá quyền sử dụng đất:</w:t>
      </w:r>
      <w:r/>
    </w:p>
    <w:p>
      <w:pPr>
        <w:pStyle w:val="1045"/>
        <w:numPr>
          <w:ilvl w:val="0"/>
          <w:numId w:val="52"/>
        </w:numPr>
        <w:pBdr>
          <w:top w:val="none" w:color="000000" w:sz="4" w:space="0"/>
          <w:left w:val="none" w:color="000000" w:sz="4" w:space="0"/>
          <w:bottom w:val="none" w:color="000000" w:sz="4" w:space="0"/>
          <w:right w:val="none" w:color="000000" w:sz="4" w:space="0"/>
        </w:pBdr>
        <w:spacing w:after="120" w:before="120" w:line="276" w:lineRule="auto"/>
        <w:ind w:right="0"/>
        <w:jc w:val="both"/>
        <w:rPr/>
      </w:pPr>
      <w:r>
        <w:rPr>
          <w:rFonts w:ascii="Times New Roman" w:hAnsi="Times New Roman" w:eastAsia="Times New Roman" w:cs="Times New Roman"/>
          <w:b/>
          <w:color w:val="000000"/>
          <w:sz w:val="24"/>
        </w:rPr>
        <w:t xml:space="preserve">Tài sản 01:</w:t>
      </w:r>
      <w:r/>
    </w:p>
    <w:p>
      <w:pPr>
        <w:pBdr>
          <w:top w:val="none" w:color="000000" w:sz="4" w:space="0"/>
          <w:left w:val="none" w:color="000000" w:sz="4" w:space="0"/>
          <w:bottom w:val="none" w:color="000000" w:sz="4" w:space="0"/>
          <w:right w:val="none" w:color="000000" w:sz="4" w:space="0"/>
        </w:pBdr>
        <w:spacing w:after="120" w:before="120" w:line="276" w:lineRule="auto"/>
        <w:ind w:right="0" w:firstLine="357"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p>
    <w:p>
      <w:pPr>
        <w:numPr>
          <w:ilvl w:val="0"/>
          <w:numId w:val="47"/>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39"/>
        <w:gridCol w:w="2092"/>
        <w:gridCol w:w="1843"/>
        <w:gridCol w:w="1843"/>
        <w:gridCol w:w="1843"/>
        <w:gridCol w:w="1701"/>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Thông tin về 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Địa chỉ</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Số 10 đường Nguyễn Vĩnh Tích, tiểu khu Nguyễn Du, xã Thường Tín, Thành phố Hà Nội</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Tiểu khu Nguyễn Du, xã Thường Tín, Thành phố Hà Nội</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Tiểu khu Nguyễn Du, xã Thường Tín, Thành phố Hà Nội</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Tiểu khu Nguyễn Du, xã Thường Tín, Thành phố Hà Nội</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Nguồn tham khảo</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 </w:t>
              <w:br/>
              <w:t xml:space="preserve"> https://www.facebook.com/share/p/1LBSt26XdS/</w:t>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14:ligatures w14:val="non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https://alonhadat.com.vn/ban-gap-dat-nguyen-du-o-to-phan-lo-via-he-kinh-doanh-dinh-dien-tich-rong-gia-17-9-ty-18294362.html</w:t>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14:ligatures w14:val="non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Liên hệ trực tiếp</w:t>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14:ligatures w14:val="none"/>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Thông tin liên lạc</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SDT: 0986 506876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SDT: 0988.669.476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SDT: 0368.434282</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Tình trạng giao dịch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5/2026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5/2026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5/2026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đường Nguyễn Vĩnh Tích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đường nội khu, cách đường Nguyễn Vĩnh Tích khoảng 200m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đường nội khu, cách đường Nguyễn Vĩnh Tích khoảng 250m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đường nội khu, cách đường Nguyễn Vĩnh Tích khoảng 200m</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 (m)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10,5m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6,5m</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75,5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83,0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75,5</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 mặt tiền</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Lợi thế kinh doanh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View</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Dân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Dân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Vườn Hoa</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Dân cư</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phân lô: hệ thống cấp điện, cấp thoát nước đầy đủ</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phân lô: hệ thống cấp điện, cấp thoát nước đầy đủ</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phân lô: hệ thống cấp điện, cấp thoát nước đầy đủ</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Tài sản trên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Đất trống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rao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16.766.000.000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17.900.000.000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17.500.000.000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Khả năng giao dịch thành công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15.089.400.000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16.110.000.000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14.000.000.000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Chi tiết tính toán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đất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rPr>
            </w:pPr>
            <w:r>
              <w:rPr>
                <w:rFonts w:ascii="Times New Roman" w:hAnsi="Times New Roman" w:eastAsia="Times New Roman" w:cs="Times New Roman"/>
                <w:b/>
                <w:bCs/>
                <w:color w:val="000000"/>
                <w:sz w:val="22"/>
              </w:rPr>
              <w:t xml:space="preserve">    15.089.400.000</w:t>
            </w:r>
            <w:r>
              <w:rPr>
                <w:b/>
                <w:bCs/>
              </w:rPr>
            </w:r>
            <w:r>
              <w:rPr>
                <w:b/>
                <w:bCs/>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rPr>
            </w:pPr>
            <w:r>
              <w:rPr>
                <w:rFonts w:ascii="Times New Roman" w:hAnsi="Times New Roman" w:eastAsia="Times New Roman" w:cs="Times New Roman"/>
                <w:b/>
                <w:bCs/>
                <w:color w:val="000000"/>
                <w:sz w:val="22"/>
              </w:rPr>
              <w:t xml:space="preserve">   16.110.000.000  </w:t>
            </w:r>
            <w:r>
              <w:rPr>
                <w:b/>
                <w:bCs/>
              </w:rPr>
            </w:r>
            <w:r>
              <w:rPr>
                <w:b/>
                <w:bCs/>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rPr>
            </w:pPr>
            <w:r>
              <w:rPr>
                <w:rFonts w:ascii="Times New Roman" w:hAnsi="Times New Roman" w:eastAsia="Times New Roman" w:cs="Times New Roman"/>
                <w:b/>
                <w:bCs/>
                <w:color w:val="000000"/>
                <w:sz w:val="22"/>
              </w:rPr>
              <w:t xml:space="preserve">  14.000.000.000</w:t>
            </w:r>
            <w:r>
              <w:rPr>
                <w:b/>
                <w:bCs/>
              </w:rPr>
            </w:r>
            <w:r>
              <w:rPr>
                <w:b/>
                <w:bCs/>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QSDĐ (đồng/m²)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rPr>
            </w:pPr>
            <w:r>
              <w:rPr>
                <w:rFonts w:ascii="Times New Roman" w:hAnsi="Times New Roman" w:eastAsia="Times New Roman" w:cs="Times New Roman"/>
                <w:b/>
                <w:bCs/>
                <w:color w:val="000000"/>
                <w:sz w:val="22"/>
              </w:rPr>
              <w:t xml:space="preserve">181.800.000 </w:t>
            </w:r>
            <w:r>
              <w:rPr>
                <w:b/>
                <w:bCs/>
              </w:rPr>
            </w:r>
            <w:r>
              <w:rPr>
                <w:b/>
                <w:bCs/>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rPr>
            </w:pPr>
            <w:r>
              <w:rPr>
                <w:rFonts w:ascii="Times New Roman" w:hAnsi="Times New Roman" w:eastAsia="Times New Roman" w:cs="Times New Roman"/>
                <w:b/>
                <w:bCs/>
                <w:color w:val="000000"/>
                <w:sz w:val="22"/>
              </w:rPr>
              <w:t xml:space="preserve">181.011.236 </w:t>
            </w:r>
            <w:r>
              <w:rPr>
                <w:b/>
                <w:bCs/>
              </w:rPr>
            </w:r>
            <w:r>
              <w:rPr>
                <w:b/>
                <w:bCs/>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rPr>
            </w:pPr>
            <w:r>
              <w:rPr>
                <w:rFonts w:ascii="Times New Roman" w:hAnsi="Times New Roman" w:eastAsia="Times New Roman" w:cs="Times New Roman"/>
                <w:b/>
                <w:bCs/>
                <w:color w:val="000000"/>
                <w:sz w:val="22"/>
              </w:rPr>
              <w:t xml:space="preserve">185.430.464 </w:t>
            </w:r>
            <w:r>
              <w:rPr>
                <w:b/>
                <w:bCs/>
              </w:rPr>
            </w:r>
            <w:r>
              <w:rPr>
                <w:b/>
                <w:bCs/>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NHẬN XÉT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 (m)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Lợi thế kinh doanh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pPr>
        <w:numPr>
          <w:ilvl w:val="0"/>
          <w:numId w:val="47"/>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1736"/>
        <w:gridCol w:w="1028"/>
        <w:gridCol w:w="1561"/>
        <w:gridCol w:w="1675"/>
        <w:gridCol w:w="1676"/>
        <w:gridCol w:w="1676"/>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3</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15.089.400.000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16.110.000.000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14.000.000.000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giá đất ước tính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    181.800.000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   181.011.236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   185.430.464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Pháp lý</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181.800.000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181.011.236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185.430.464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đường Nguyễn Vĩnh Tích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đường nội khu, cách đường Nguyễn Vĩnh Tích khoảng 200m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đường nội khu, cách đường Nguyễn Vĩnh Tích khoảng 250m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đường nội khu, cách đường Nguyễn Vĩnh Tích khoảng 200m</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9.090.000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9.050.562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9.271.523 </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190.890.000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190.061.798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194.701.987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b/>
                <w:color w:val="000000"/>
                <w:sz w:val="22"/>
              </w:rPr>
              <w:t xml:space="preserve">(m)</w:t>
            </w:r>
            <w:r>
              <w:rPr>
                <w:rFonts w:ascii="Times New Roman" w:hAnsi="Times New Roman" w:eastAsia="Times New Roman" w:cs="Times New Roman"/>
                <w:b/>
                <w:color w:val="000000"/>
                <w:sz w:val="22"/>
              </w:r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10,5m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6,5m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6,5m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6,5m</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18.180.000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18.101.124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18.543.046 </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209.070.000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208.162.921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213.245.033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rPr>
                <w:rFonts w:ascii="Times New Roman" w:hAnsi="Times New Roman" w:eastAsia="Times New Roman" w:cs="Times New Roman"/>
                <w:b/>
                <w:color w:val="000000"/>
                <w:sz w:val="22"/>
              </w:rPr>
              <w:t xml:space="preserve">(m²)</w:t>
            </w:r>
            <w:r>
              <w:rPr>
                <w:rFonts w:ascii="Times New Roman" w:hAnsi="Times New Roman" w:eastAsia="Times New Roman" w:cs="Times New Roman"/>
                <w:color w:val="000000"/>
                <w:sz w:val="22"/>
              </w:r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75,5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83,0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89,0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75,5</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209.070.000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208.162.921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213.245.033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b/>
                <w:color w:val="000000"/>
                <w:sz w:val="22"/>
              </w:rPr>
              <w:t xml:space="preserve">(m)</w:t>
            </w:r>
            <w:r>
              <w:rPr>
                <w:rFonts w:ascii="Times New Roman" w:hAnsi="Times New Roman" w:eastAsia="Times New Roman" w:cs="Times New Roman"/>
                <w:b/>
                <w:color w:val="000000"/>
                <w:sz w:val="22"/>
              </w:r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5,0</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209.070.000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208.162.921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213.245.033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 mặt tiền</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-9.090.000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-9.050.562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-9.271.523 </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199.980.000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199.112.360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203.973.510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199.980.000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199.112.360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203.973.510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Lợi thế kinh doanh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Phù hợp để ở</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Phù hợp để ở</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Phù hợp để ở</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Phù hợp để ở</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199.980.000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199.112.360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203.973.510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phân lô: hệ thống cấp điện, cấp thoát nước đầy đủ</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phân lô: hệ thống cấp điện, cấp thoát nước đầy đủ</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phân lô: hệ thống cấp điện, cấp thoát nước đầy đủ</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dân cư thông thường: hệ thống cấp điện, cấp thoát nước đầy đủ</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199.980.000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199.112.360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203.973.510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199.980.000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199.112.360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203.973.510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0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201.021.956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-0,9%</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36.360.000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36.202.247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37.086.093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Biên độ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18.180.000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18.101.124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18.543.046 </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0,5% đến 1,5%, đảm bảo không quá 15% (theo Thông tư số 32/2024/TT-BTC ngày 16/5/2024 của Bộ Tài chính).</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p>
    <w:tbl>
      <w:tblPr>
        <w:tblStyle w:val="1049"/>
        <w:tblInd w:w="0" w:type="dxa"/>
        <w:tblW w:w="5002"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75"/>
        <w:gridCol w:w="1948"/>
        <w:gridCol w:w="1948"/>
        <w:gridCol w:w="1948"/>
        <w:gridCol w:w="3226"/>
      </w:tblGrid>
      <w:tr>
        <w:trPr>
          <w:trHeight w:val="93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so sánh 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199.980.000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66.660.000 </w:t>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so sánh 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199.112.360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66.370.787 </w:t>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so sánh 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203.973.510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67.991.170 </w:t>
            </w:r>
            <w:r/>
          </w:p>
        </w:tc>
      </w:tr>
      <w:tr>
        <w:trPr>
          <w:trHeight w:val="312"/>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201.021.956 </w:t>
            </w:r>
            <w:r/>
          </w:p>
        </w:tc>
      </w:tr>
      <w:tr>
        <w:trPr>
          <w:trHeight w:val="312"/>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201.000.000 </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tương ứng là: </w:t>
      </w:r>
      <w:r>
        <w:rPr>
          <w:rFonts w:ascii="Times New Roman" w:hAnsi="Times New Roman" w:eastAsia="Times New Roman" w:cs="Times New Roman"/>
          <w:b/>
          <w:color w:val="000000"/>
          <w:sz w:val="24"/>
        </w:rPr>
        <w:t xml:space="preserve">201.000.000 đồng/m².</w:t>
      </w:r>
      <w:r/>
    </w:p>
    <w:p>
      <w:pPr>
        <w:pStyle w:val="1045"/>
        <w:numPr>
          <w:ilvl w:val="0"/>
          <w:numId w:val="53"/>
        </w:numPr>
        <w:pBdr>
          <w:top w:val="none" w:color="000000" w:sz="4" w:space="0"/>
          <w:left w:val="none" w:color="000000" w:sz="4" w:space="0"/>
          <w:bottom w:val="none" w:color="000000" w:sz="4" w:space="0"/>
          <w:right w:val="none" w:color="000000" w:sz="4" w:space="0"/>
        </w:pBdr>
        <w:spacing w:after="120" w:before="120" w:line="276" w:lineRule="auto"/>
        <w:ind w:right="0"/>
        <w:jc w:val="both"/>
        <w:rPr/>
      </w:pPr>
      <w:r>
        <w:rPr>
          <w:rFonts w:ascii="Times New Roman" w:hAnsi="Times New Roman" w:eastAsia="Times New Roman" w:cs="Times New Roman"/>
          <w:b/>
          <w:color w:val="000000"/>
          <w:sz w:val="24"/>
        </w:rPr>
        <w:t xml:space="preserve">Tài sản 02:</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b/>
          <w:bCs/>
        </w:rPr>
      </w:pPr>
      <w:r>
        <w:rPr>
          <w:rFonts w:ascii="Times New Roman" w:hAnsi="Times New Roman" w:eastAsia="Times New Roman" w:cs="Times New Roman"/>
          <w:color w:val="000000"/>
          <w:sz w:val="24"/>
        </w:rPr>
        <w:t xml:space="preserve">Tổ thẩm định nhận thấy </w:t>
      </w:r>
      <w:r>
        <w:rPr>
          <w:rFonts w:ascii="Times New Roman" w:hAnsi="Times New Roman" w:eastAsia="Times New Roman" w:cs="Times New Roman"/>
          <w:b/>
          <w:color w:val="000000"/>
          <w:sz w:val="24"/>
        </w:rPr>
        <w:t xml:space="preserve">Tài sản 02</w:t>
      </w:r>
      <w:r>
        <w:rPr>
          <w:rFonts w:ascii="Times New Roman" w:hAnsi="Times New Roman" w:eastAsia="Times New Roman" w:cs="Times New Roman"/>
          <w:color w:val="000000"/>
          <w:sz w:val="24"/>
        </w:rPr>
        <w:t xml:space="preserve"> hoàn toàn tương đồng về vị trí, kích thước, mặt tiền, giao thông, mục đích sử dụng đất …… với </w:t>
      </w:r>
      <w:r>
        <w:rPr>
          <w:rFonts w:ascii="Times New Roman" w:hAnsi="Times New Roman" w:eastAsia="Times New Roman" w:cs="Times New Roman"/>
          <w:b/>
          <w:color w:val="000000"/>
          <w:sz w:val="24"/>
        </w:rPr>
        <w:t xml:space="preserve">Tài sản 01</w:t>
      </w:r>
      <w:r>
        <w:rPr>
          <w:rFonts w:ascii="Times New Roman" w:hAnsi="Times New Roman" w:eastAsia="Times New Roman" w:cs="Times New Roman"/>
          <w:color w:val="000000"/>
          <w:sz w:val="24"/>
        </w:rPr>
        <w:t xml:space="preserve">. Tổ thẩm định xác định đơn giá </w:t>
      </w:r>
      <w:r>
        <w:rPr>
          <w:rFonts w:ascii="Times New Roman" w:hAnsi="Times New Roman" w:eastAsia="Times New Roman" w:cs="Times New Roman"/>
          <w:b/>
          <w:color w:val="000000"/>
          <w:sz w:val="24"/>
        </w:rPr>
        <w:t xml:space="preserve">Tài sản 02</w:t>
      </w:r>
      <w:r>
        <w:rPr>
          <w:rFonts w:ascii="Times New Roman" w:hAnsi="Times New Roman" w:eastAsia="Times New Roman" w:cs="Times New Roman"/>
          <w:color w:val="000000"/>
          <w:sz w:val="24"/>
        </w:rPr>
        <w:t xml:space="preserve"> = </w:t>
      </w:r>
      <w:r>
        <w:rPr>
          <w:rFonts w:ascii="Times New Roman" w:hAnsi="Times New Roman" w:eastAsia="Times New Roman" w:cs="Times New Roman"/>
          <w:b/>
          <w:color w:val="000000"/>
          <w:sz w:val="24"/>
        </w:rPr>
        <w:t xml:space="preserve">Tài sản 01</w:t>
      </w:r>
      <w:r>
        <w:rPr>
          <w:rFonts w:ascii="Times New Roman" w:hAnsi="Times New Roman" w:eastAsia="Times New Roman" w:cs="Times New Roman"/>
          <w:color w:val="000000"/>
          <w:sz w:val="24"/>
        </w:rPr>
        <w:t xml:space="preserve"> là: </w:t>
      </w:r>
      <w:r>
        <w:rPr>
          <w:rFonts w:ascii="Times New Roman" w:hAnsi="Times New Roman" w:eastAsia="Times New Roman" w:cs="Times New Roman"/>
          <w:b/>
          <w:bCs/>
          <w:color w:val="000000"/>
          <w:sz w:val="24"/>
        </w:rPr>
        <w:t xml:space="preserve">201.000.000 đồng/ m². </w:t>
      </w:r>
      <w:r>
        <w:rPr>
          <w:b/>
          <w:bCs/>
        </w:rPr>
      </w:r>
      <w:r>
        <w:rPr>
          <w:b/>
          <w:bCs/>
        </w:rPr>
      </w:r>
    </w:p>
    <w:p>
      <w:pPr>
        <w:pBdr>
          <w:top w:val="none" w:color="000000" w:sz="4" w:space="0"/>
          <w:left w:val="none" w:color="000000" w:sz="4" w:space="0"/>
          <w:bottom w:val="none" w:color="000000" w:sz="4" w:space="0"/>
          <w:right w:val="none" w:color="000000" w:sz="4" w:space="0"/>
        </w:pBdr>
        <w:spacing w:after="120" w:before="120" w:line="276" w:lineRule="auto"/>
        <w:ind w:firstLine="0" w:left="0"/>
        <w:jc w:val="both"/>
        <w:rPr/>
      </w:pPr>
      <w:r>
        <w:rPr>
          <w:rFonts w:ascii="Times New Roman" w:hAnsi="Times New Roman" w:eastAsia="Times New Roman" w:cs="Times New Roman"/>
          <w:b/>
          <w:color w:val="000000"/>
          <w:sz w:val="24"/>
        </w:rPr>
        <w:t xml:space="preserve">2. Kết quả thẩm định giá:</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Dựa trên các lập luận trên, Tổ thẩm định ước tính giá trị tài sản thẩm định giá chưa bao gồm các loại thuế, phí và lệ phí liên quan đến việc chuyển nhượng tài sản tại thời điểm thẩm định giá Tháng 5/2026 ước tính như sau:</w:t>
      </w:r>
      <w:r>
        <w:rPr>
          <w:rFonts w:ascii="Times New Roman" w:hAnsi="Times New Roman" w:eastAsia="Times New Roman" w:cs="Times New Roman"/>
          <w:color w:val="000000"/>
          <w:sz w:val="24"/>
          <w:szCs w:val="24"/>
          <w:highlight w:val="none"/>
        </w:rP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37"/>
        <w:gridCol w:w="3084"/>
        <w:gridCol w:w="1951"/>
        <w:gridCol w:w="1984"/>
        <w:gridCol w:w="2076"/>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b/>
                <w:bCs/>
              </w:rPr>
            </w:pPr>
            <w:r>
              <w:rPr>
                <w:rFonts w:ascii="Times New Roman" w:hAnsi="Times New Roman" w:eastAsia="Times New Roman" w:cs="Times New Roman"/>
                <w:b/>
                <w:bCs/>
                <w:color w:val="000000"/>
                <w:sz w:val="24"/>
              </w:rPr>
            </w:r>
            <w:r>
              <w:rPr>
                <w:rFonts w:ascii="Times New Roman" w:hAnsi="Times New Roman" w:eastAsia="Times New Roman" w:cs="Times New Roman"/>
                <w:b/>
                <w:bCs/>
                <w:color w:val="000000"/>
                <w:spacing w:val="3"/>
                <w:sz w:val="24"/>
                <w:highlight w:val="white"/>
              </w:rPr>
              <w:t xml:space="preserve">Quyền sử dụng đất tại thửa đất số: OM.07-10, tờ bản đồ số: Quy hoạch phân lô, địa chỉ: Thị trấn Thường Tín, huyện Thường Tín (</w:t>
            </w:r>
            <w:r>
              <w:rPr>
                <w:rFonts w:ascii="Times New Roman" w:hAnsi="Times New Roman" w:eastAsia="Times New Roman" w:cs="Times New Roman"/>
                <w:b/>
                <w:bCs/>
                <w:i/>
                <w:color w:val="000000"/>
                <w:spacing w:val="3"/>
                <w:sz w:val="24"/>
                <w:highlight w:val="white"/>
              </w:rPr>
              <w:t xml:space="preserve">nay là xã Thường Tín)</w:t>
            </w:r>
            <w:r>
              <w:rPr>
                <w:rFonts w:ascii="Times New Roman" w:hAnsi="Times New Roman" w:eastAsia="Times New Roman" w:cs="Times New Roman"/>
                <w:b/>
                <w:bCs/>
                <w:color w:val="000000"/>
                <w:spacing w:val="3"/>
                <w:sz w:val="24"/>
                <w:highlight w:val="white"/>
              </w:rPr>
              <w:t xml:space="preserve">,</w:t>
            </w:r>
            <w:r>
              <w:rPr>
                <w:rFonts w:ascii="Times New Roman" w:hAnsi="Times New Roman" w:eastAsia="Times New Roman" w:cs="Times New Roman"/>
                <w:b/>
                <w:bCs/>
                <w:color w:val="000000"/>
                <w:spacing w:val="3"/>
                <w:sz w:val="24"/>
                <w:highlight w:val="white"/>
              </w:rPr>
              <w:t xml:space="preserve"> Thành phố Hà Nội theo Giấy chứng nhận quyền sử dụng đất, quyền sở hữu nhà ở và tài sản khác gắn liền với đất số: CQ 262418, số vào sổ cấp GCN: CH00484 do UBND huyện Thường Tín cấp ngày 13/3/2019; Chủ sử dụng đất là Ông Nguyễn Hùng Quyền và Bà Nguyễn Thị T</w:t>
            </w:r>
            <w:r>
              <w:rPr>
                <w:rFonts w:ascii="Times New Roman" w:hAnsi="Times New Roman" w:eastAsia="Times New Roman" w:cs="Times New Roman"/>
                <w:b/>
                <w:bCs/>
                <w:color w:val="000000"/>
                <w:spacing w:val="3"/>
                <w:sz w:val="24"/>
                <w:highlight w:val="white"/>
              </w:rPr>
              <w:t xml:space="preserve">hủy</w:t>
            </w:r>
            <w:r>
              <w:rPr>
                <w:rFonts w:ascii="Times New Roman" w:hAnsi="Times New Roman" w:eastAsia="Times New Roman" w:cs="Times New Roman"/>
                <w:b/>
                <w:bCs/>
                <w:color w:val="000000"/>
                <w:spacing w:val="3"/>
                <w:sz w:val="24"/>
                <w:highlight w:val="none"/>
              </w:rPr>
              <w:t xml:space="preserve">.</w:t>
            </w:r>
            <w:r>
              <w:rPr>
                <w:b/>
                <w:bCs/>
              </w:rPr>
            </w:r>
            <w:r>
              <w:rPr>
                <w:b/>
                <w:bCs/>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color w:val="000000"/>
                <w:sz w:val="24"/>
              </w:rPr>
              <w:t xml:space="preserve">01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rPr/>
            </w:pPr>
            <w:r>
              <w:rPr>
                <w:rFonts w:ascii="Times New Roman" w:hAnsi="Times New Roman" w:eastAsia="Times New Roman" w:cs="Times New Roman"/>
                <w:color w:val="000000"/>
                <w:sz w:val="24"/>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51"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4"/>
              </w:rPr>
              <w:t xml:space="preserve">         75,5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color w:val="000000"/>
                <w:sz w:val="24"/>
              </w:rPr>
              <w:t xml:space="preserve"> 201.000.000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color w:val="000000"/>
                <w:sz w:val="24"/>
              </w:rPr>
              <w:t xml:space="preserve">15.175.500.000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color w:val="000000"/>
                <w:sz w:val="24"/>
              </w:rPr>
              <w:t xml:space="preserve">-</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b/>
                <w:bCs/>
              </w:rPr>
            </w:pPr>
            <w:r>
              <w:rPr>
                <w:rFonts w:ascii="Times New Roman" w:hAnsi="Times New Roman" w:eastAsia="Times New Roman" w:cs="Times New Roman"/>
                <w:b/>
                <w:color w:val="000000"/>
                <w:sz w:val="24"/>
              </w:rPr>
            </w:r>
            <w:r>
              <w:rPr>
                <w:rFonts w:ascii="Times New Roman" w:hAnsi="Times New Roman" w:eastAsia="Times New Roman" w:cs="Times New Roman"/>
                <w:b/>
                <w:bCs/>
                <w:color w:val="000000"/>
                <w:spacing w:val="3"/>
                <w:sz w:val="24"/>
                <w:highlight w:val="white"/>
              </w:rPr>
              <w:t xml:space="preserve">Quyền sử dụng đất tại thửa đất số: OM.07-11, tờ bản đồ số: Quy hoạch phân lô, địa chỉ: Thị trấn Thường Tín, huyện Thường Tín (</w:t>
            </w:r>
            <w:r>
              <w:rPr>
                <w:rFonts w:ascii="Times New Roman" w:hAnsi="Times New Roman" w:eastAsia="Times New Roman" w:cs="Times New Roman"/>
                <w:b/>
                <w:bCs/>
                <w:i/>
                <w:color w:val="000000"/>
                <w:spacing w:val="3"/>
                <w:sz w:val="24"/>
                <w:highlight w:val="white"/>
              </w:rPr>
              <w:t xml:space="preserve">nay là xã Thường Tín)</w:t>
            </w:r>
            <w:r>
              <w:rPr>
                <w:rFonts w:ascii="Times New Roman" w:hAnsi="Times New Roman" w:eastAsia="Times New Roman" w:cs="Times New Roman"/>
                <w:b/>
                <w:bCs/>
                <w:color w:val="000000"/>
                <w:spacing w:val="3"/>
                <w:sz w:val="24"/>
                <w:highlight w:val="white"/>
              </w:rPr>
              <w:t xml:space="preserve">,</w:t>
            </w:r>
            <w:r>
              <w:rPr>
                <w:rFonts w:ascii="Times New Roman" w:hAnsi="Times New Roman" w:eastAsia="Times New Roman" w:cs="Times New Roman"/>
                <w:b/>
                <w:bCs/>
                <w:color w:val="000000"/>
                <w:spacing w:val="3"/>
                <w:sz w:val="24"/>
                <w:highlight w:val="white"/>
              </w:rPr>
              <w:t xml:space="preserve"> Thành phố Hà Nội theo Giấy chứng nhận quyền sử dụng đất, quyền sở hữu nhà ở và tài sản khác gắn liền với đất số: CQ 262419, số vào sổ cấp GCN: CH00483 do UBND huyện Thường Tín cấp ngày 13/3/2019; Chủ sử dụng đất là Ông Nguyễn Hùng Quyền và Bà Nguyễn Thị T</w:t>
            </w:r>
            <w:r>
              <w:rPr>
                <w:rFonts w:ascii="Times New Roman" w:hAnsi="Times New Roman" w:eastAsia="Times New Roman" w:cs="Times New Roman"/>
                <w:b/>
                <w:bCs/>
                <w:color w:val="000000"/>
                <w:spacing w:val="3"/>
                <w:sz w:val="24"/>
                <w:highlight w:val="white"/>
              </w:rPr>
              <w:t xml:space="preserve">hủy</w:t>
            </w:r>
            <w:r>
              <w:rPr>
                <w:rFonts w:ascii="Times New Roman" w:hAnsi="Times New Roman" w:eastAsia="Times New Roman" w:cs="Times New Roman"/>
                <w:b/>
                <w:bCs/>
                <w:color w:val="000000"/>
                <w:sz w:val="24"/>
              </w:rPr>
              <w:t xml:space="preserve">.</w:t>
            </w:r>
            <w:r>
              <w:rPr>
                <w:b/>
                <w:bCs/>
              </w:rPr>
            </w:r>
            <w:r>
              <w:rPr>
                <w:b/>
                <w:bCs/>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color w:val="000000"/>
                <w:sz w:val="24"/>
              </w:rPr>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color w:val="000000"/>
                <w:sz w:val="24"/>
              </w:rPr>
              <w:t xml:space="preserve">02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rPr/>
            </w:pPr>
            <w:r>
              <w:rPr>
                <w:rFonts w:ascii="Times New Roman" w:hAnsi="Times New Roman" w:eastAsia="Times New Roman" w:cs="Times New Roman"/>
                <w:color w:val="000000"/>
                <w:sz w:val="24"/>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51"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jc w:val="left"/>
              <w:rPr/>
            </w:pPr>
            <w:r>
              <w:rPr>
                <w:rFonts w:ascii="Times New Roman" w:hAnsi="Times New Roman" w:eastAsia="Times New Roman" w:cs="Times New Roman"/>
                <w:color w:val="000000"/>
                <w:sz w:val="24"/>
              </w:rPr>
              <w:t xml:space="preserve">         75,5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left"/>
              <w:rPr/>
            </w:pPr>
            <w:r>
              <w:rPr>
                <w:rFonts w:ascii="Times New Roman" w:hAnsi="Times New Roman" w:eastAsia="Times New Roman" w:cs="Times New Roman"/>
                <w:color w:val="000000"/>
                <w:sz w:val="24"/>
              </w:rPr>
              <w:t xml:space="preserve"> 201.000.000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color w:val="000000"/>
                <w:sz w:val="24"/>
              </w:rPr>
              <w:t xml:space="preserve">15.175.500.000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Times New Roman" w:hAnsi="Times New Roman" w:eastAsia="Times New Roman" w:cs="Times New Roman"/>
                <w:b/>
                <w:color w:val="000000"/>
                <w:sz w:val="24"/>
              </w:rPr>
              <w:t xml:space="preserve"> </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19"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6"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Times New Roman" w:hAnsi="Times New Roman" w:eastAsia="Times New Roman" w:cs="Times New Roman"/>
                <w:b/>
                <w:color w:val="000000"/>
                <w:sz w:val="24"/>
              </w:rPr>
              <w:t xml:space="preserve">      30.351.000.000 </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4"/>
              </w:rPr>
              <w:t xml:space="preserve"> </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095"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i/>
                <w:color w:val="000000"/>
                <w:sz w:val="24"/>
              </w:rPr>
              <w:t xml:space="preserve">(Bằng chữ: Ba mươi tỷ, ba trăm năm mươi mốt triệu đồng chẵn ./.)</w:t>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120" w:line="324" w:lineRule="auto"/>
        <w:ind w:right="0" w:firstLine="0" w:left="0"/>
        <w:jc w:val="both"/>
        <w:rPr/>
      </w:pPr>
      <w:r>
        <w:rPr>
          <w:rFonts w:ascii="Times New Roman" w:hAnsi="Times New Roman" w:eastAsia="Times New Roman" w:cs="Times New Roman"/>
          <w:b/>
          <w:color w:val="000000"/>
          <w:sz w:val="24"/>
        </w:rPr>
        <w:t xml:space="preserve">IX. THỜI HẠN HIỆU LỰC CỦA KẾT QUẢ THẨM ĐỊNH GIÁ</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324" w:lineRule="auto"/>
        <w:ind/>
        <w:jc w:val="both"/>
        <w:rPr/>
      </w:pPr>
      <w:r>
        <w:rPr>
          <w:rFonts w:ascii="Times New Roman" w:hAnsi="Times New Roman" w:eastAsia="Times New Roman" w:cs="Times New Roman"/>
          <w:color w:val="000000"/>
          <w:sz w:val="24"/>
        </w:rPr>
        <w:t xml:space="preserve">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24" w:lineRule="auto"/>
        <w:ind w:right="0" w:firstLine="0" w:left="0"/>
        <w:jc w:val="both"/>
        <w:rPr/>
      </w:pPr>
      <w:r>
        <w:rPr>
          <w:rFonts w:ascii="Times New Roman" w:hAnsi="Times New Roman" w:eastAsia="Times New Roman" w:cs="Times New Roman"/>
          <w:b/>
          <w:color w:val="000000"/>
          <w:spacing w:val="-4"/>
          <w:sz w:val="24"/>
        </w:rPr>
        <w:t xml:space="preserve">X. TUYÊN BỐ CHUNG VÀ MIỄN TRỪ TRÁCH NHIỆM</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24" w:lineRule="auto"/>
        <w:ind/>
        <w:jc w:val="both"/>
        <w:rPr/>
      </w:pPr>
      <w:r>
        <w:rPr>
          <w:rFonts w:ascii="Times New Roman" w:hAnsi="Times New Roman" w:eastAsia="Times New Roman" w:cs="Times New Roman"/>
          <w:color w:val="000000"/>
          <w:sz w:val="24"/>
        </w:rPr>
        <w:t xml:space="preserve">Công ty Cổ phần Thẩm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24" w:lineRule="auto"/>
        <w:ind/>
        <w:jc w:val="both"/>
        <w:rPr/>
      </w:pPr>
      <w:r>
        <w:rPr>
          <w:rFonts w:ascii="Times New Roman" w:hAnsi="Times New Roman" w:eastAsia="Times New Roman" w:cs="Times New Roman"/>
          <w:color w:val="000000"/>
          <w:sz w:val="24"/>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w:t>
      </w:r>
      <w:r>
        <w:rPr>
          <w:rFonts w:ascii="Times New Roman" w:hAnsi="Times New Roman" w:eastAsia="Times New Roman" w:cs="Times New Roman"/>
          <w:color w:val="000000"/>
          <w:sz w:val="24"/>
        </w:rPr>
        <w:t xml:space="preserve">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24" w:lineRule="auto"/>
        <w:ind/>
        <w:jc w:val="both"/>
        <w:rPr/>
      </w:pPr>
      <w:r>
        <w:rPr>
          <w:rFonts w:ascii="Times New Roman" w:hAnsi="Times New Roman" w:eastAsia="Times New Roman" w:cs="Times New Roman"/>
          <w:color w:val="000000"/>
          <w:sz w:val="24"/>
        </w:rPr>
        <w:t xml:space="preserve">Chứng thư, Báo cáo này được soạn thảo theo Hợp đồng được ký kết và tuân theo các điều khoản được nêu trong Hợp đồng. Chứng thư, báo cáo này chỉ nhằm phục vụ cho mục đích sử dụng được nêu trong Báo cáo và không nhằm mục đích sử dụng cho bất kỳ bên nào khác </w:t>
      </w:r>
      <w:r>
        <w:rPr>
          <w:rFonts w:ascii="Times New Roman" w:hAnsi="Times New Roman" w:eastAsia="Times New Roman" w:cs="Times New Roman"/>
          <w:color w:val="000000"/>
          <w:sz w:val="24"/>
        </w:rPr>
        <w:t xml:space="preserve">không được đề cập đến trong Hợp đồng (gọi tắt là “các bên liên quan”).</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24" w:lineRule="auto"/>
        <w:ind/>
        <w:jc w:val="both"/>
        <w:rPr/>
      </w:pPr>
      <w:r>
        <w:rPr>
          <w:rFonts w:ascii="Times New Roman" w:hAnsi="Times New Roman" w:eastAsia="Times New Roman" w:cs="Times New Roman"/>
          <w:color w:val="000000"/>
          <w:sz w:val="24"/>
        </w:rPr>
        <w:t xml:space="preserve">Các bên liên quan khi đọc và thực hiện sử dụng sản phẩm tư vấn này, tức là đã chấp nhận và đồng ý với những điều khoản sau:</w:t>
      </w:r>
      <w:r/>
    </w:p>
    <w:p>
      <w:pPr>
        <w:numPr>
          <w:ilvl w:val="0"/>
          <w:numId w:val="42"/>
        </w:numPr>
        <w:pBdr>
          <w:top w:val="none" w:color="000000" w:sz="4" w:space="0"/>
          <w:left w:val="none" w:color="000000" w:sz="4" w:space="0"/>
          <w:bottom w:val="none" w:color="000000" w:sz="4" w:space="0"/>
          <w:right w:val="none" w:color="000000" w:sz="4" w:space="0"/>
        </w:pBdr>
        <w:spacing w:after="120" w:before="120" w:line="324" w:lineRule="auto"/>
        <w:ind/>
        <w:jc w:val="both"/>
        <w:rPr/>
      </w:pPr>
      <w:r>
        <w:rPr>
          <w:rFonts w:ascii="Times New Roman" w:hAnsi="Times New Roman" w:eastAsia="Times New Roman" w:cs="Times New Roman"/>
          <w:color w:val="000000"/>
          <w:sz w:val="24"/>
        </w:rPr>
        <w:t xml:space="preserve">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w:t>
      </w:r>
      <w:r>
        <w:rPr>
          <w:rFonts w:ascii="Times New Roman" w:hAnsi="Times New Roman" w:eastAsia="Times New Roman" w:cs="Times New Roman"/>
          <w:color w:val="000000"/>
          <w:sz w:val="24"/>
        </w:rPr>
        <w:t xml:space="preserve">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w:t>
      </w:r>
      <w:r>
        <w:rPr>
          <w:rFonts w:ascii="Times New Roman" w:hAnsi="Times New Roman" w:eastAsia="Times New Roman" w:cs="Times New Roman"/>
          <w:color w:val="000000"/>
          <w:sz w:val="24"/>
        </w:rPr>
        <w:t xml:space="preserve">kỳ mục đích nào thì mọi trách nhiệm có liên quan đều thuộc Quý Khách hàng và các bên liên quan đó tham gia vào các giao dịch có liên quan.</w:t>
      </w:r>
      <w:r/>
    </w:p>
    <w:p>
      <w:pPr>
        <w:numPr>
          <w:ilvl w:val="0"/>
          <w:numId w:val="42"/>
        </w:numPr>
        <w:pBdr>
          <w:top w:val="none" w:color="000000" w:sz="4" w:space="0"/>
          <w:left w:val="none" w:color="000000" w:sz="4" w:space="0"/>
          <w:bottom w:val="none" w:color="000000" w:sz="4" w:space="0"/>
          <w:right w:val="none" w:color="000000" w:sz="4" w:space="0"/>
        </w:pBdr>
        <w:spacing w:after="120" w:before="120" w:line="324" w:lineRule="auto"/>
        <w:ind/>
        <w:jc w:val="both"/>
        <w:rPr/>
      </w:pPr>
      <w:r>
        <w:rPr>
          <w:rFonts w:ascii="Times New Roman" w:hAnsi="Times New Roman" w:eastAsia="Times New Roman" w:cs="Times New Roman"/>
          <w:color w:val="000000"/>
          <w:sz w:val="24"/>
        </w:rPr>
        <w:t xml:space="preserve">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w:t>
      </w:r>
      <w:r>
        <w:rPr>
          <w:rFonts w:ascii="Times New Roman" w:hAnsi="Times New Roman" w:eastAsia="Times New Roman" w:cs="Times New Roman"/>
          <w:color w:val="000000"/>
          <w:sz w:val="24"/>
        </w:rPr>
        <w:t xml:space="preserve">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w:t>
      </w:r>
      <w:r>
        <w:rPr>
          <w:rFonts w:ascii="Times New Roman" w:hAnsi="Times New Roman" w:eastAsia="Times New Roman" w:cs="Times New Roman"/>
          <w:color w:val="000000"/>
          <w:sz w:val="24"/>
        </w:rPr>
        <w:t xml:space="preserve">n của các bên liên quan, hoặc do hậu quả của việc cung cấp Chứng thư, Báo cáo cho các bên liên quan.</w:t>
      </w:r>
      <w:r/>
    </w:p>
    <w:p>
      <w:pPr>
        <w:numPr>
          <w:ilvl w:val="0"/>
          <w:numId w:val="42"/>
        </w:numPr>
        <w:pBdr>
          <w:top w:val="none" w:color="000000" w:sz="4" w:space="0"/>
          <w:left w:val="none" w:color="000000" w:sz="4" w:space="0"/>
          <w:bottom w:val="none" w:color="000000" w:sz="4" w:space="0"/>
          <w:right w:val="none" w:color="000000" w:sz="4" w:space="0"/>
        </w:pBdr>
        <w:spacing w:after="120" w:before="120" w:line="324" w:lineRule="auto"/>
        <w:ind/>
        <w:jc w:val="both"/>
        <w:rPr/>
      </w:pPr>
      <w:r>
        <w:rPr>
          <w:rFonts w:ascii="Times New Roman" w:hAnsi="Times New Roman" w:eastAsia="Times New Roman" w:cs="Times New Roman"/>
          <w:color w:val="000000"/>
          <w:sz w:val="24"/>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w:t>
      </w:r>
      <w:r>
        <w:rPr>
          <w:rFonts w:ascii="Times New Roman" w:hAnsi="Times New Roman" w:eastAsia="Times New Roman" w:cs="Times New Roman"/>
          <w:color w:val="000000"/>
          <w:sz w:val="24"/>
        </w:rPr>
        <w:t xml:space="preserve">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w:t>
      </w:r>
      <w:r>
        <w:rPr>
          <w:rFonts w:ascii="Times New Roman" w:hAnsi="Times New Roman" w:eastAsia="Times New Roman" w:cs="Times New Roman"/>
          <w:color w:val="000000"/>
          <w:sz w:val="24"/>
        </w:rPr>
        <w:t xml:space="preserve">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w:t>
      </w:r>
      <w:r>
        <w:rPr>
          <w:rFonts w:ascii="Times New Roman" w:hAnsi="Times New Roman" w:eastAsia="Times New Roman" w:cs="Times New Roman"/>
          <w:color w:val="000000"/>
          <w:sz w:val="24"/>
        </w:rPr>
        <w:t xml:space="preserve">gây tổn hại đến danh dự, trách nhiệm pháp lý, nghĩa vụ kinh tế… của các cá nhân và tập thể Lotus VFI.</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24" w:lineRule="auto"/>
        <w:ind w:right="0" w:firstLine="0" w:left="0"/>
        <w:jc w:val="both"/>
        <w:rPr/>
      </w:pPr>
      <w:r>
        <w:rPr>
          <w:rFonts w:ascii="Times New Roman" w:hAnsi="Times New Roman" w:eastAsia="Times New Roman" w:cs="Times New Roman"/>
          <w:b/>
          <w:color w:val="000000"/>
          <w:spacing w:val="-4"/>
          <w:sz w:val="24"/>
        </w:rPr>
        <w:t xml:space="preserve">XI. NHỮNG ĐIỀU KHOẢN LOẠI TRỪ VÀ HẠN CHẾ CỦA KẾT QUẢ THẨM ĐỊNH GIÁ</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24" w:lineRule="auto"/>
        <w:ind/>
        <w:jc w:val="both"/>
        <w:rPr/>
      </w:pPr>
      <w:r>
        <w:rPr>
          <w:rFonts w:ascii="Times New Roman" w:hAnsi="Times New Roman" w:eastAsia="Times New Roman" w:cs="Times New Roman"/>
          <w:color w:val="000000"/>
          <w:sz w:val="24"/>
        </w:rPr>
        <w:t xml:space="preserve">Chứng thư này chỉ được cung cấp theo yêu cầu của khách hàng. Chỉ bản chính và bản sao Chứng thư thẩm định giá do Công ty Cổ phần Thẩm định và Đầu tư Tài chính Hoa Sen cấp mới có giá trị. Mọi hành vi sử dụng bản sao Chứng thư/Báo cáo kết quả thẩm định giá m</w:t>
      </w:r>
      <w:r>
        <w:rPr>
          <w:rFonts w:ascii="Times New Roman" w:hAnsi="Times New Roman" w:eastAsia="Times New Roman" w:cs="Times New Roman"/>
          <w:color w:val="000000"/>
          <w:sz w:val="24"/>
        </w:rPr>
        <w:t xml:space="preserve">à không có xác nhận của Công ty Cổ phần Thẩm định và Đầu tư Tài chính Hoa Sen đều vi phạm pháp luật và không có giá trị.</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24" w:lineRule="auto"/>
        <w:ind/>
        <w:jc w:val="both"/>
        <w:rPr/>
      </w:pPr>
      <w:r>
        <w:rPr>
          <w:rFonts w:ascii="Times New Roman" w:hAnsi="Times New Roman" w:eastAsia="Times New Roman" w:cs="Times New Roman"/>
          <w:color w:val="000000"/>
          <w:sz w:val="24"/>
        </w:rPr>
        <w:t xml:space="preserve">Kết quả thẩm định giá trên chỉ xác nhận khi khách hàng hoàn tất các thủ tục pháp lý và nghĩa vụ tài chính liên quan đến tài sản thẩm định theo quy định của pháp luật hiện hành.</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24" w:lineRule="auto"/>
        <w:ind/>
        <w:jc w:val="both"/>
        <w:rPr/>
      </w:pPr>
      <w:r>
        <w:rPr>
          <w:rFonts w:ascii="Times New Roman" w:hAnsi="Times New Roman" w:eastAsia="Times New Roman" w:cs="Times New Roman"/>
          <w:color w:val="000000"/>
          <w:sz w:val="24"/>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24" w:lineRule="auto"/>
        <w:ind/>
        <w:jc w:val="both"/>
        <w:rPr/>
      </w:pPr>
      <w:r>
        <w:rPr>
          <w:rFonts w:ascii="Times New Roman" w:hAnsi="Times New Roman" w:eastAsia="Times New Roman" w:cs="Times New Roman"/>
          <w:color w:val="000000"/>
          <w:sz w:val="24"/>
        </w:rPr>
        <w:t xml:space="preserve">Các phương pháp tính toán trên cơ sở tài liệu được cung cấp bởi khách hàng và dựa trên các tài liệu khác có liên quan do tổ thẩm định thu thập, cũng như các điều kiện và kỳ vọng tại thời điểm thẩm định giá phù hợp với các luật định, chính sách quản lý của </w:t>
      </w:r>
      <w:r>
        <w:rPr>
          <w:rFonts w:ascii="Times New Roman" w:hAnsi="Times New Roman" w:eastAsia="Times New Roman" w:cs="Times New Roman"/>
          <w:color w:val="000000"/>
          <w:sz w:val="24"/>
        </w:rPr>
        <w:t xml:space="preserve">Nhà nước hiện hành và các điều kiện, giả định theo quan điểm hợp lý của tổ thẩm định kèm theo báo cáo này. Một số vấn đề, sự kiện tương lai không có khả năng tính toán chính xác, hoặc nằm ngoài phạm vi chuyên môn nên cần vận dụng các giả định cho việc thẩm</w:t>
      </w:r>
      <w:r>
        <w:rPr>
          <w:rFonts w:ascii="Times New Roman" w:hAnsi="Times New Roman" w:eastAsia="Times New Roman" w:cs="Times New Roman"/>
          <w:color w:val="000000"/>
          <w:sz w:val="24"/>
        </w:rPr>
        <w:t xml:space="preserve"> định giá này, tổ thẩm định không đảm bảo là các giả định làm cơ sở thẩm định giá là chính xác hoàn toàn.</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24" w:lineRule="auto"/>
        <w:ind/>
        <w:jc w:val="both"/>
        <w:rPr/>
      </w:pPr>
      <w:r>
        <w:rPr>
          <w:rFonts w:ascii="Times New Roman" w:hAnsi="Times New Roman" w:eastAsia="Times New Roman" w:cs="Times New Roman"/>
          <w:color w:val="000000"/>
          <w:spacing w:val="2"/>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pacing w:val="2"/>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pacing w:val="2"/>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24" w:lineRule="auto"/>
        <w:ind/>
        <w:jc w:val="both"/>
        <w:rPr/>
      </w:pP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ại thời điểm thẩm định giá, trên đất có công trình xây dựng là 01 Nhà 02 tầng + 1 tum, kết cấu BTCT, được xây dựng trên 02 thửa đất liền kề nhau (cùng chủ sử dụng đất) là: OM.07-10 và OM.07-11, tờ bản đồ: Quy hoạch phân lô. Công trình có ngoại quan mới, hi</w:t>
      </w:r>
      <w:r>
        <w:rPr>
          <w:rFonts w:ascii="Times New Roman" w:hAnsi="Times New Roman" w:eastAsia="Times New Roman" w:cs="Times New Roman"/>
          <w:color w:val="000000"/>
          <w:sz w:val="24"/>
        </w:rPr>
        <w:t xml:space="preserve">ện</w:t>
      </w:r>
      <w:r>
        <w:rPr>
          <w:rFonts w:ascii="Times New Roman" w:hAnsi="Times New Roman" w:eastAsia="Times New Roman" w:cs="Times New Roman"/>
          <w:color w:val="000000"/>
          <w:sz w:val="24"/>
        </w:rPr>
        <w:t xml:space="preserve"> trạng được sử dụng làm văn phòng công ty. Hiện tại công trình chưa được chứng nhận trên GCN số: CQ 262418; và CQ 262419. Đồng thời, Tổ thẩm định cũng không nhận được bất kỳ giấy tờ pháp lý nào liên quan đến chủ tài sản. Do vậy theo đề nghị của Khách hàng/</w:t>
      </w:r>
      <w:r>
        <w:rPr>
          <w:rFonts w:ascii="Times New Roman" w:hAnsi="Times New Roman" w:eastAsia="Times New Roman" w:cs="Times New Roman"/>
          <w:color w:val="000000"/>
          <w:sz w:val="24"/>
        </w:rPr>
        <w:t xml:space="preserve">Ngân hàng, Tổ thẩm định không xác định giá trị công trình trên nhưng vẫn coi đó là phần không thể thiếu của tài sản thẩm định.</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24" w:lineRule="auto"/>
        <w:ind/>
        <w:jc w:val="both"/>
        <w:rPr/>
      </w:pPr>
      <w:r>
        <w:rPr>
          <w:rFonts w:ascii="Times New Roman" w:hAnsi="Times New Roman" w:eastAsia="Times New Roman" w:cs="Times New Roman"/>
          <w:color w:val="000000"/>
          <w:sz w:val="24"/>
        </w:rPr>
        <w:t xml:space="preserve">Khách hàng yêu cầu thẩm định giá và người hướng dẫn tổ thẩm định thực hiện thẩm định hiện trạng tài sản phải chịu hoàn toàn trách nhiệm về thông tin liên quan đến đặc điểm kinh tế - kỹ thuật, tính năng và tính pháp lý của tài sản thẩm định giá đã cung cấp </w:t>
      </w:r>
      <w:r>
        <w:rPr>
          <w:rFonts w:ascii="Times New Roman" w:hAnsi="Times New Roman" w:eastAsia="Times New Roman" w:cs="Times New Roman"/>
          <w:color w:val="000000"/>
          <w:sz w:val="24"/>
        </w:rPr>
        <w:t xml:space="preserve">cho Công ty Cổ phần Thẩm định và Đầu tư Tài chính Hoa Sen tại thời điểm và địa điểm thẩm định giá.</w:t>
      </w:r>
      <w:r/>
    </w:p>
    <w:p>
      <w:pPr>
        <w:numPr>
          <w:ilvl w:val="0"/>
          <w:numId w:val="48"/>
        </w:numPr>
        <w:pBdr>
          <w:top w:val="none" w:color="000000" w:sz="4" w:space="0"/>
          <w:left w:val="none" w:color="000000" w:sz="4" w:space="0"/>
          <w:bottom w:val="none" w:color="000000" w:sz="4" w:space="0"/>
          <w:right w:val="none" w:color="000000" w:sz="4" w:space="0"/>
        </w:pBdr>
        <w:spacing w:after="120" w:before="120" w:line="324" w:lineRule="auto"/>
        <w:ind/>
        <w:jc w:val="both"/>
        <w:rPr/>
      </w:pPr>
      <w:r>
        <w:rPr>
          <w:rFonts w:ascii="Times New Roman" w:hAnsi="Times New Roman" w:eastAsia="Times New Roman" w:cs="Times New Roman"/>
          <w:color w:val="000000"/>
          <w:sz w:val="24"/>
          <w:highlight w:val="white"/>
        </w:rPr>
        <w:t xml:space="preserve">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w:t>
      </w:r>
      <w:r>
        <w:rPr>
          <w:rFonts w:ascii="Times New Roman" w:hAnsi="Times New Roman" w:eastAsia="Times New Roman" w:cs="Times New Roman"/>
          <w:color w:val="000000"/>
          <w:sz w:val="24"/>
          <w:highlight w:val="white"/>
        </w:rPr>
        <w:t xml:space="preserve">Giá trị ước tính này không nhất thiết phải trùng khớp với giá trị dùng để giao dịch.</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24" w:lineRule="auto"/>
        <w:ind/>
        <w:jc w:val="both"/>
        <w:rPr/>
      </w:pPr>
      <w:r>
        <w:rPr>
          <w:rFonts w:ascii="Times New Roman" w:hAnsi="Times New Roman" w:eastAsia="Times New Roman" w:cs="Times New Roman"/>
          <w:color w:val="000000"/>
          <w:sz w:val="24"/>
          <w:highlight w:val="white"/>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w:t>
      </w:r>
      <w:r>
        <w:rPr>
          <w:rFonts w:ascii="Times New Roman" w:hAnsi="Times New Roman" w:eastAsia="Times New Roman" w:cs="Times New Roman"/>
          <w:color w:val="000000"/>
          <w:sz w:val="24"/>
          <w:highlight w:val="white"/>
        </w:rPr>
        <w:t xml:space="preserve">ch, số ô, số thửa, tờ bản đồ theo </w:t>
      </w:r>
      <w:r>
        <w:rPr>
          <w:rFonts w:ascii="Times New Roman" w:hAnsi="Times New Roman" w:eastAsia="Times New Roman" w:cs="Times New Roman"/>
          <w:color w:val="000000"/>
          <w:sz w:val="24"/>
        </w:rPr>
        <w:t xml:space="preserve">Giấy chứng nhận quyền sử dụng đất đã cung cấp cho chúng tôi.</w:t>
      </w:r>
      <w:r/>
    </w:p>
    <w:p>
      <w:pPr>
        <w:numPr>
          <w:ilvl w:val="0"/>
          <w:numId w:val="48"/>
        </w:numPr>
        <w:pBdr>
          <w:top w:val="none" w:color="000000" w:sz="4" w:space="0"/>
          <w:left w:val="none" w:color="000000" w:sz="4" w:space="0"/>
          <w:bottom w:val="none" w:color="000000" w:sz="4" w:space="0"/>
          <w:right w:val="none" w:color="000000" w:sz="4" w:space="0"/>
        </w:pBdr>
        <w:spacing w:after="120" w:before="120" w:line="324" w:lineRule="auto"/>
        <w:ind/>
        <w:jc w:val="both"/>
        <w:rPr/>
      </w:pPr>
      <w:r>
        <w:rPr>
          <w:rFonts w:ascii="Times New Roman" w:hAnsi="Times New Roman" w:eastAsia="Times New Roman" w:cs="Times New Roman"/>
          <w:color w:val="000000"/>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z w:val="24"/>
        </w:rPr>
        <w:t xml:space="preserve"> trừ mọi trách nhiệm phát sinh, liên đới (nếu có) trong trường hợp này.</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324" w:lineRule="auto"/>
        <w:ind/>
        <w:jc w:val="both"/>
        <w:rPr/>
      </w:pPr>
      <w:r>
        <w:rPr>
          <w:rFonts w:ascii="Times New Roman" w:hAnsi="Times New Roman" w:eastAsia="Times New Roman" w:cs="Times New Roman"/>
          <w:color w:val="000000"/>
          <w:sz w:val="24"/>
        </w:rPr>
        <w:t xml:space="preserve">Tổ thẩm định giá sử dụng Phương pháp so sánh để xác định giá trị tài sản thẩm định giá trong đó  việc thu thập thông tin TSSS đã giao dịch thành công còn gặp nhiều hạn chế, vì vậy, Tổ thẩm định giá sử dụng các TSSS là các tài sản đang được rao bán trên thị</w:t>
      </w:r>
      <w:r>
        <w:rPr>
          <w:rFonts w:ascii="Times New Roman" w:hAnsi="Times New Roman" w:eastAsia="Times New Roman" w:cs="Times New Roman"/>
          <w:color w:val="000000"/>
          <w:sz w:val="24"/>
        </w:rPr>
        <w:t xml:space="preserve"> trường. Kết quả thẩm định giá có thể thay đổi khi các TSSS được giao dịch thành công. Khách hàng và các bên thứ ba khi sử dụng kết quả thẩm định giá cần lưu ý khi sử dụng Chứng thư thẩm định giá.</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24" w:lineRule="auto"/>
        <w:ind/>
        <w:jc w:val="both"/>
        <w:rPr/>
      </w:pPr>
      <w:r>
        <w:rPr>
          <w:rFonts w:ascii="Times New Roman" w:hAnsi="Times New Roman" w:eastAsia="Times New Roman" w:cs="Times New Roman"/>
          <w:color w:val="000000"/>
          <w:sz w:val="24"/>
        </w:rPr>
        <w:t xml:space="preserve">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w:t>
      </w:r>
      <w:r>
        <w:rPr>
          <w:rFonts w:ascii="Times New Roman" w:hAnsi="Times New Roman" w:eastAsia="Times New Roman" w:cs="Times New Roman"/>
          <w:color w:val="000000"/>
          <w:sz w:val="24"/>
        </w:rPr>
        <w:t xml:space="preserve">định giá.</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324" w:lineRule="auto"/>
        <w:ind/>
        <w:jc w:val="both"/>
        <w:rPr/>
      </w:pPr>
      <w:r>
        <w:rPr>
          <w:rFonts w:ascii="Times New Roman" w:hAnsi="Times New Roman" w:eastAsia="Times New Roman" w:cs="Times New Roman"/>
          <w:color w:val="000000"/>
          <w:sz w:val="24"/>
          <w:u w:val="none"/>
        </w:rPr>
        <w:t xml:space="preserve">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w:t>
      </w:r>
      <w:r>
        <w:rPr>
          <w:rFonts w:ascii="Times New Roman" w:hAnsi="Times New Roman" w:eastAsia="Times New Roman" w:cs="Times New Roman"/>
          <w:color w:val="000000"/>
          <w:sz w:val="24"/>
          <w:u w:val="none"/>
        </w:rPr>
        <w:t xml:space="preserve">kết quả…. và chấp nhận sử dụng tất cả nội dung được trình bày trong chứng thư này.</w:t>
      </w:r>
      <w:r/>
    </w:p>
    <w:p>
      <w:pPr>
        <w:pBdr>
          <w:top w:val="none" w:color="000000" w:sz="4" w:space="0"/>
          <w:left w:val="none" w:color="000000" w:sz="4" w:space="0"/>
          <w:bottom w:val="none" w:color="000000" w:sz="4" w:space="0"/>
          <w:right w:val="none" w:color="000000" w:sz="4" w:space="0"/>
        </w:pBdr>
        <w:spacing w:after="120" w:before="120" w:line="324" w:lineRule="auto"/>
        <w:ind w:right="0" w:firstLine="0" w:left="0"/>
        <w:rPr/>
      </w:pPr>
      <w:r>
        <w:rPr>
          <w:rFonts w:ascii="Times New Roman" w:hAnsi="Times New Roman" w:eastAsia="Times New Roman" w:cs="Times New Roman"/>
          <w:b/>
          <w:color w:val="000000"/>
          <w:sz w:val="24"/>
        </w:rPr>
        <w:t xml:space="preserve">XII. CÁC PHỤ LỤC KÈM THEO </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24" w:lineRule="auto"/>
        <w:ind w:right="0" w:firstLine="0" w:left="0"/>
        <w:jc w:val="both"/>
        <w:rPr/>
      </w:pPr>
      <w:r>
        <w:rPr>
          <w:rFonts w:ascii="Times New Roman" w:hAnsi="Times New Roman" w:eastAsia="Times New Roman" w:cs="Times New Roman"/>
          <w:color w:val="000000"/>
          <w:sz w:val="24"/>
        </w:rPr>
        <w:t xml:space="preserve">Phụ lục 1: Hình ảnh hiện trạng của tài sản.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24" w:lineRule="auto"/>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Phụ lục 2: Thông tin thu thập thị trường.</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shd w:val="nil" w:color="auto"/>
        <w:spacing/>
        <w:ind/>
        <w:rPr>
          <w:rFonts w:ascii="Times New Roman" w:hAnsi="Times New Roman" w:eastAsia="Times New Roman" w:cs="Times New Roman"/>
          <w:sz w:val="24"/>
          <w:szCs w:val="24"/>
        </w:rPr>
      </w:pPr>
      <w:r>
        <w:rPr>
          <w:rFonts w:ascii="Times New Roman" w:hAnsi="Times New Roman" w:eastAsia="Times New Roman" w:cs="Times New Roman"/>
          <w:sz w:val="24"/>
          <w:szCs w:val="24"/>
        </w:rPr>
        <w:br w:type="page" w:clear="all"/>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Báo cáo kết quả thẩm định giá được phát hành 03 (ba) bản chính bằng tiếng Việt kèm theo Chứng thư thẩm định giá số 275/2026/0688/VFI-CT.44.A</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000000"/>
          <w:sz w:val="24"/>
        </w:rPr>
        <w:t xml:space="preserve">ngày 06 tháng 5 năm 2026 tại Công ty Cổ phần Thẩm định và Đầu tư Tài chính Hoa Sen.</w:t>
      </w:r>
      <w:r/>
    </w:p>
    <w:tbl>
      <w:tblPr>
        <w:tblStyle w:val="1049"/>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THẨM ĐỊNH VIÊN VỀ GIÁ</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CHỦ TỊCH HĐQT KIÊM TỔNG GIÁM ĐỐC</w:t>
            </w: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Nguyễn Thị Thùy Dương </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Số thẻ thẩm định viên về giá: XVI25TS.2576</w:t>
            </w: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Vũ Văn Quân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XII17.1825</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none"/>
        </w:rPr>
        <w:t xml:space="preserve"> </w:t>
      </w:r>
      <w:r/>
    </w:p>
    <w:tbl>
      <w:tblPr>
        <w:tblStyle w:val="1049"/>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TRỢ LÝ THẨM ĐỊNH VIÊN</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KIỂM SOÁT VIÊN</w:t>
            </w: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Lê Đình Duy</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Nguyễn Thị Thùy</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u w:val="single"/>
        </w:rPr>
        <w:t xml:space="preserve">PHỤ LỤC 01</w:t>
      </w:r>
      <w:r>
        <w:rPr>
          <w:rFonts w:ascii="Times New Roman" w:hAnsi="Times New Roman" w:eastAsia="Times New Roman" w:cs="Times New Roman"/>
          <w:b/>
          <w:color w:val="000000"/>
          <w:sz w:val="24"/>
        </w:rPr>
        <w:t xml:space="preserve">: THÔNG TIN HIỆN TRẠNG VÀ PHÁP LÝ CỦA TÀI SẢN</w:t>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(Kèm theo Báo cáo thẩm định số 275/2026/0688/VFI-BC.44.A ngày 06 tháng 5 năm 2026 của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Công ty Cổ phần Thẩm định và Đầu tư Tài chính Hoa Sen)</w:t>
      </w: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31"/>
        <w:gridCol w:w="4794"/>
      </w:tblGrid>
      <w:tr>
        <w:trPr/>
        <w:tc>
          <w:tcPr>
            <w:tcBorders/>
            <w:tcMar>
              <w:left w:w="108" w:type="dxa"/>
              <w:top w:w="0" w:type="dxa"/>
              <w:right w:w="108" w:type="dxa"/>
              <w:bottom w:w="0" w:type="dxa"/>
            </w:tcMar>
            <w:tcW w:w="47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3057525" cy="229552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163529" name=""/>
                              <pic:cNvPicPr>
                                <a:picLocks noChangeAspect="1"/>
                              </pic:cNvPicPr>
                              <pic:nvPr/>
                            </pic:nvPicPr>
                            <pic:blipFill rotWithShape="1">
                              <a:blip r:embed="rId19"/>
                              <a:stretch/>
                            </pic:blipFill>
                            <pic:spPr bwMode="auto">
                              <a:xfrm>
                                <a:off x="0" y="0"/>
                                <a:ext cx="3057525" cy="22955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40.75pt;height:180.75pt;mso-wrap-distance-left:0.00pt;mso-wrap-distance-top:0.00pt;mso-wrap-distance-right:0.00pt;mso-wrap-distance-bottom:0.00pt;z-index:1;" stroked="false">
                      <v:imagedata r:id="rId19" o:title=""/>
                      <o:lock v:ext="edit" rotation="t"/>
                    </v:shape>
                  </w:pict>
                </mc:Fallback>
              </mc:AlternateContent>
            </w:r>
            <w:r/>
          </w:p>
        </w:tc>
        <w:tc>
          <w:tcPr>
            <w:tcBorders/>
            <w:tcMar>
              <w:left w:w="108" w:type="dxa"/>
              <w:top w:w="0" w:type="dxa"/>
              <w:right w:w="108" w:type="dxa"/>
              <w:bottom w:w="0" w:type="dxa"/>
            </w:tcMar>
            <w:tcW w:w="47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3133725" cy="235267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518011" name=""/>
                              <pic:cNvPicPr>
                                <a:picLocks noChangeAspect="1"/>
                              </pic:cNvPicPr>
                              <pic:nvPr/>
                            </pic:nvPicPr>
                            <pic:blipFill rotWithShape="1">
                              <a:blip r:embed="rId20"/>
                              <a:stretch/>
                            </pic:blipFill>
                            <pic:spPr bwMode="auto">
                              <a:xfrm>
                                <a:off x="0" y="0"/>
                                <a:ext cx="3133724" cy="2352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6.75pt;height:185.25pt;mso-wrap-distance-left:0.00pt;mso-wrap-distance-top:0.00pt;mso-wrap-distance-right:0.00pt;mso-wrap-distance-bottom:0.00pt;z-index:1;" stroked="false">
                      <v:imagedata r:id="rId20" o:title=""/>
                      <o:lock v:ext="edit" rotation="t"/>
                    </v:shape>
                  </w:pict>
                </mc:Fallback>
              </mc:AlternateContent>
            </w:r>
            <w:r/>
          </w:p>
        </w:tc>
      </w:tr>
      <w:tr>
        <w:trPr/>
        <w:tc>
          <w:tcPr>
            <w:tcBorders/>
            <w:tcMar>
              <w:left w:w="108" w:type="dxa"/>
              <w:top w:w="0" w:type="dxa"/>
              <w:right w:w="108" w:type="dxa"/>
              <w:bottom w:w="0" w:type="dxa"/>
            </w:tcMar>
            <w:tcW w:w="47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847975" cy="21336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72705" name=""/>
                              <pic:cNvPicPr>
                                <a:picLocks noChangeAspect="1"/>
                              </pic:cNvPicPr>
                              <pic:nvPr/>
                            </pic:nvPicPr>
                            <pic:blipFill rotWithShape="1">
                              <a:blip r:embed="rId21"/>
                              <a:stretch/>
                            </pic:blipFill>
                            <pic:spPr bwMode="auto">
                              <a:xfrm>
                                <a:off x="0" y="0"/>
                                <a:ext cx="2847974" cy="2133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4.25pt;height:168.00pt;mso-wrap-distance-left:0.00pt;mso-wrap-distance-top:0.00pt;mso-wrap-distance-right:0.00pt;mso-wrap-distance-bottom:0.00pt;z-index:1;" stroked="false">
                      <v:imagedata r:id="rId21" o:title=""/>
                      <o:lock v:ext="edit" rotation="t"/>
                    </v:shape>
                  </w:pict>
                </mc:Fallback>
              </mc:AlternateContent>
            </w:r>
            <w:r/>
          </w:p>
        </w:tc>
        <w:tc>
          <w:tcPr>
            <w:tcBorders/>
            <w:tcMar>
              <w:left w:w="108" w:type="dxa"/>
              <w:top w:w="0" w:type="dxa"/>
              <w:right w:w="108" w:type="dxa"/>
              <w:bottom w:w="0" w:type="dxa"/>
            </w:tcMar>
            <w:tcW w:w="47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3048000" cy="2286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371090" name=""/>
                              <pic:cNvPicPr>
                                <a:picLocks noChangeAspect="1"/>
                              </pic:cNvPicPr>
                              <pic:nvPr/>
                            </pic:nvPicPr>
                            <pic:blipFill rotWithShape="1">
                              <a:blip r:embed="rId22"/>
                              <a:stretch/>
                            </pic:blipFill>
                            <pic:spPr bwMode="auto">
                              <a:xfrm>
                                <a:off x="0" y="0"/>
                                <a:ext cx="3047999" cy="2286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0.00pt;height:180.00pt;mso-wrap-distance-left:0.00pt;mso-wrap-distance-top:0.00pt;mso-wrap-distance-right:0.00pt;mso-wrap-distance-bottom:0.00pt;z-index:1;" stroked="false">
                      <v:imagedata r:id="rId22" o:title=""/>
                      <o:lock v:ext="edit" rotation="t"/>
                    </v:shape>
                  </w:pict>
                </mc:Fallback>
              </mc:AlternateContent>
            </w:r>
            <w:r/>
          </w:p>
        </w:tc>
      </w:tr>
      <w:tr>
        <w:trPr/>
        <w:tc>
          <w:tcPr>
            <w:tcBorders/>
            <w:tcMar>
              <w:left w:w="108" w:type="dxa"/>
              <w:top w:w="0" w:type="dxa"/>
              <w:right w:w="108" w:type="dxa"/>
              <w:bottom w:w="0" w:type="dxa"/>
            </w:tcMar>
            <w:tcW w:w="47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476500" cy="185737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311301" name=""/>
                              <pic:cNvPicPr>
                                <a:picLocks noChangeAspect="1"/>
                              </pic:cNvPicPr>
                              <pic:nvPr/>
                            </pic:nvPicPr>
                            <pic:blipFill rotWithShape="1">
                              <a:blip r:embed="rId23"/>
                              <a:stretch/>
                            </pic:blipFill>
                            <pic:spPr bwMode="auto">
                              <a:xfrm>
                                <a:off x="0" y="0"/>
                                <a:ext cx="2476499" cy="18573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5.00pt;height:146.25pt;mso-wrap-distance-left:0.00pt;mso-wrap-distance-top:0.00pt;mso-wrap-distance-right:0.00pt;mso-wrap-distance-bottom:0.00pt;z-index:1;" stroked="false">
                      <v:imagedata r:id="rId23" o:title=""/>
                      <o:lock v:ext="edit" rotation="t"/>
                    </v:shape>
                  </w:pict>
                </mc:Fallback>
              </mc:AlternateContent>
            </w:r>
            <w:r/>
          </w:p>
        </w:tc>
        <w:tc>
          <w:tcPr>
            <w:tcBorders/>
            <w:tcMar>
              <w:left w:w="108" w:type="dxa"/>
              <w:top w:w="0" w:type="dxa"/>
              <w:right w:w="108" w:type="dxa"/>
              <w:bottom w:w="0" w:type="dxa"/>
            </w:tcMar>
            <w:tcW w:w="47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733675" cy="204787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017935" name=""/>
                              <pic:cNvPicPr>
                                <a:picLocks noChangeAspect="1"/>
                              </pic:cNvPicPr>
                              <pic:nvPr/>
                            </pic:nvPicPr>
                            <pic:blipFill rotWithShape="1">
                              <a:blip r:embed="rId24"/>
                              <a:stretch/>
                            </pic:blipFill>
                            <pic:spPr bwMode="auto">
                              <a:xfrm>
                                <a:off x="0" y="0"/>
                                <a:ext cx="2733674" cy="20478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5.25pt;height:161.25pt;mso-wrap-distance-left:0.00pt;mso-wrap-distance-top:0.00pt;mso-wrap-distance-right:0.00pt;mso-wrap-distance-bottom:0.00pt;z-index:1;" stroked="false">
                      <v:imagedata r:id="rId24" o:title=""/>
                      <o:lock v:ext="edit" rotation="t"/>
                    </v:shape>
                  </w:pict>
                </mc:Fallback>
              </mc:AlternateContent>
            </w:r>
            <w:r/>
          </w:p>
        </w:tc>
      </w:tr>
    </w:tbl>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804862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825053" name=""/>
                        <pic:cNvPicPr>
                          <a:picLocks noChangeAspect="1"/>
                        </pic:cNvPicPr>
                        <pic:nvPr/>
                      </pic:nvPicPr>
                      <pic:blipFill rotWithShape="1">
                        <a:blip r:embed="rId25"/>
                        <a:stretch/>
                      </pic:blipFill>
                      <pic:spPr bwMode="auto">
                        <a:xfrm>
                          <a:off x="0" y="0"/>
                          <a:ext cx="6048374" cy="80486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33.75pt;mso-wrap-distance-left:0.00pt;mso-wrap-distance-top:0.00pt;mso-wrap-distance-right:0.00pt;mso-wrap-distance-bottom:0.00pt;z-index:1;" stroked="false">
                <v:imagedata r:id="rId25" o:title=""/>
                <o:lock v:ext="edit" rotation="t"/>
              </v:shape>
            </w:pict>
          </mc:Fallback>
        </mc:AlternateContent>
      </w:r>
      <w:r>
        <w:rPr>
          <w:rFonts w:ascii="Times New Roman" w:hAnsi="Times New Roman" w:eastAsia="Times New Roman" w:cs="Times New Roman"/>
          <w:color w:val="000000"/>
          <w:sz w:val="24"/>
        </w:rPr>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mc:AlternateContent>
          <mc:Choice Requires="wpg">
            <w:drawing>
              <wp:inline xmlns:wp="http://schemas.openxmlformats.org/drawingml/2006/wordprocessingDrawing" distT="0" distB="0" distL="0" distR="0">
                <wp:extent cx="6048375" cy="878205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029908" name=""/>
                        <pic:cNvPicPr>
                          <a:picLocks noChangeAspect="1"/>
                        </pic:cNvPicPr>
                        <pic:nvPr/>
                      </pic:nvPicPr>
                      <pic:blipFill rotWithShape="1">
                        <a:blip r:embed="rId26"/>
                        <a:stretch/>
                      </pic:blipFill>
                      <pic:spPr bwMode="auto">
                        <a:xfrm>
                          <a:off x="0" y="0"/>
                          <a:ext cx="6048374" cy="87820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91.50pt;mso-wrap-distance-left:0.00pt;mso-wrap-distance-top:0.00pt;mso-wrap-distance-right:0.00pt;mso-wrap-distance-bottom:0.00pt;z-index:1;" stroked="false">
                <v:imagedata r:id="rId26"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mc:AlternateContent>
          <mc:Choice Requires="wpg">
            <w:drawing>
              <wp:inline xmlns:wp="http://schemas.openxmlformats.org/drawingml/2006/wordprocessingDrawing" distT="0" distB="0" distL="0" distR="0">
                <wp:extent cx="6048375" cy="860107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077413" name=""/>
                        <pic:cNvPicPr>
                          <a:picLocks noChangeAspect="1"/>
                        </pic:cNvPicPr>
                        <pic:nvPr/>
                      </pic:nvPicPr>
                      <pic:blipFill rotWithShape="1">
                        <a:blip r:embed="rId27"/>
                        <a:stretch/>
                      </pic:blipFill>
                      <pic:spPr bwMode="auto">
                        <a:xfrm>
                          <a:off x="0" y="0"/>
                          <a:ext cx="6048374" cy="8601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77.25pt;mso-wrap-distance-left:0.00pt;mso-wrap-distance-top:0.00pt;mso-wrap-distance-right:0.00pt;mso-wrap-distance-bottom:0.00pt;z-index:1;" stroked="false">
                <v:imagedata r:id="rId27"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mc:AlternateContent>
          <mc:Choice Requires="wpg">
            <w:drawing>
              <wp:inline xmlns:wp="http://schemas.openxmlformats.org/drawingml/2006/wordprocessingDrawing" distT="0" distB="0" distL="0" distR="0">
                <wp:extent cx="6010275" cy="85344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058788" name=""/>
                        <pic:cNvPicPr>
                          <a:picLocks noChangeAspect="1"/>
                        </pic:cNvPicPr>
                        <pic:nvPr/>
                      </pic:nvPicPr>
                      <pic:blipFill rotWithShape="1">
                        <a:blip r:embed="rId28"/>
                        <a:stretch/>
                      </pic:blipFill>
                      <pic:spPr bwMode="auto">
                        <a:xfrm>
                          <a:off x="0" y="0"/>
                          <a:ext cx="6010274" cy="85343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3.25pt;height:672.00pt;mso-wrap-distance-left:0.00pt;mso-wrap-distance-top:0.00pt;mso-wrap-distance-right:0.00pt;mso-wrap-distance-bottom:0.00pt;z-index:1;" stroked="false">
                <v:imagedata r:id="rId28"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mc:AlternateContent>
          <mc:Choice Requires="wpg">
            <w:drawing>
              <wp:inline xmlns:wp="http://schemas.openxmlformats.org/drawingml/2006/wordprocessingDrawing" distT="0" distB="0" distL="0" distR="0">
                <wp:extent cx="6048375" cy="88011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019366" name=""/>
                        <pic:cNvPicPr>
                          <a:picLocks noChangeAspect="1"/>
                        </pic:cNvPicPr>
                        <pic:nvPr/>
                      </pic:nvPicPr>
                      <pic:blipFill rotWithShape="1">
                        <a:blip r:embed="rId29"/>
                        <a:stretch/>
                      </pic:blipFill>
                      <pic:spPr bwMode="auto">
                        <a:xfrm>
                          <a:off x="0" y="0"/>
                          <a:ext cx="6048374" cy="88010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693.00pt;mso-wrap-distance-left:0.00pt;mso-wrap-distance-top:0.00pt;mso-wrap-distance-right:0.00pt;mso-wrap-distance-bottom:0.00pt;z-index:1;" stroked="false">
                <v:imagedata r:id="rId29"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mc:AlternateContent>
          <mc:Choice Requires="wpg">
            <w:drawing>
              <wp:inline xmlns:wp="http://schemas.openxmlformats.org/drawingml/2006/wordprocessingDrawing" distT="0" distB="0" distL="0" distR="0">
                <wp:extent cx="6048375" cy="874395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015926" name=""/>
                        <pic:cNvPicPr>
                          <a:picLocks noChangeAspect="1"/>
                        </pic:cNvPicPr>
                        <pic:nvPr/>
                      </pic:nvPicPr>
                      <pic:blipFill rotWithShape="1">
                        <a:blip r:embed="rId30"/>
                        <a:stretch/>
                      </pic:blipFill>
                      <pic:spPr bwMode="auto">
                        <a:xfrm>
                          <a:off x="0" y="0"/>
                          <a:ext cx="6048374" cy="87439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88.50pt;mso-wrap-distance-left:0.00pt;mso-wrap-distance-top:0.00pt;mso-wrap-distance-right:0.00pt;mso-wrap-distance-bottom:0.00pt;z-index:1;" stroked="false">
                <v:imagedata r:id="rId30"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single"/>
        </w:rPr>
        <w:t xml:space="preserve">PHỤ LỤC 02</w:t>
      </w:r>
      <w:r>
        <w:rPr>
          <w:rFonts w:ascii="Times New Roman" w:hAnsi="Times New Roman" w:eastAsia="Times New Roman" w:cs="Times New Roman"/>
          <w:b/>
          <w:color w:val="000000"/>
          <w:sz w:val="24"/>
        </w:rPr>
        <w:t xml:space="preserve">: THÔNG TIN THU THẬP THỊ TRƯỜNG</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(Kèm theo Báo cáo thẩm định số 275/2026/0688/VFI-BC.44.A ngày 06 tháng 5 năm 2026 của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color w:val="000000"/>
          <w:sz w:val="24"/>
        </w:rPr>
        <w:t xml:space="preserve">TSSS1</w:t>
      </w: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TSSS1</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về tài sản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Tiểu khu Nguyễn Du, xã Thường Tín, Thành phố Hà Nội</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https://www.facebook.com/share/p/1LBSt26XdS/</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SDT: 0986 506 876</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 </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5/2026</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đường nội khu, cách đường Nguyễn Vĩnh Tích khoảng 200m</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6,5m</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83,0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 mặt tiền</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phân lô: hệ thống cấp điện, cấp thoát nước đầy đủ</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16.766.000.000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giao dịch thành công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15.089.400.000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trị tài sản trên đất (đồng) đã bao gồm thang máy</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QSDĐ (đồng/m²)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181.800.000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left"/>
              <w:rPr/>
            </w:pPr>
            <w:r>
              <w:rPr>
                <w:rFonts w:ascii="Times New Roman" w:hAnsi="Times New Roman" w:eastAsia="Times New Roman" w:cs="Times New Roman"/>
                <w:color w:val="000000"/>
                <w:sz w:val="22"/>
              </w:rPr>
              <w:t xml:space="preserve">Bằng chứng thu thập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5298599" cy="401171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29737" name=""/>
                              <pic:cNvPicPr>
                                <a:picLocks noChangeAspect="1"/>
                              </pic:cNvPicPr>
                              <pic:nvPr/>
                            </pic:nvPicPr>
                            <pic:blipFill rotWithShape="1">
                              <a:blip r:embed="rId31"/>
                              <a:stretch/>
                            </pic:blipFill>
                            <pic:spPr bwMode="auto">
                              <a:xfrm flipH="0" flipV="0">
                                <a:off x="0" y="0"/>
                                <a:ext cx="5298599" cy="40117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7.21pt;height:315.88pt;mso-wrap-distance-left:0.00pt;mso-wrap-distance-top:0.00pt;mso-wrap-distance-right:0.00pt;mso-wrap-distance-bottom:0.00pt;z-index:1;" stroked="false">
                      <v:imagedata r:id="rId31" o:title=""/>
                      <o:lock v:ext="edit" rotation="t"/>
                    </v:shape>
                  </w:pict>
                </mc:Fallback>
              </mc:AlternateContent>
            </w:r>
            <w:r>
              <w:rPr>
                <w:rFonts w:ascii="Times New Roman" w:hAnsi="Times New Roman" w:eastAsia="Times New Roman" w:cs="Times New Roman"/>
                <w:color w:val="000000"/>
                <w:sz w:val="22"/>
              </w:rPr>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mc:AlternateContent>
                <mc:Choice Requires="wpg">
                  <w:drawing>
                    <wp:inline xmlns:wp="http://schemas.openxmlformats.org/drawingml/2006/wordprocessingDrawing" distT="0" distB="0" distL="0" distR="0">
                      <wp:extent cx="6048375" cy="4530374"/>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208693" name=""/>
                              <pic:cNvPicPr>
                                <a:picLocks noChangeAspect="1"/>
                              </pic:cNvPicPr>
                              <pic:nvPr/>
                            </pic:nvPicPr>
                            <pic:blipFill rotWithShape="1">
                              <a:blip r:embed="rId32"/>
                              <a:stretch/>
                            </pic:blipFill>
                            <pic:spPr bwMode="auto">
                              <a:xfrm>
                                <a:off x="0" y="0"/>
                                <a:ext cx="6048374" cy="45303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356.72pt;mso-wrap-distance-left:0.00pt;mso-wrap-distance-top:0.00pt;mso-wrap-distance-right:0.00pt;mso-wrap-distance-bottom:0.00pt;z-index:1;" stroked="false">
                      <v:imagedata r:id="rId32" o:title=""/>
                      <o:lock v:ext="edit" rotation="t"/>
                    </v:shape>
                  </w:pict>
                </mc:Fallback>
              </mc:AlternateContent>
            </w:r>
            <w:r>
              <w:rPr>
                <w:rFonts w:ascii="Times New Roman" w:hAnsi="Times New Roman" w:eastAsia="Times New Roman" w:cs="Times New Roman"/>
                <w:b/>
                <w:color w:val="000000"/>
                <w:sz w:val="22"/>
              </w:rPr>
            </w:r>
            <w:r/>
          </w:p>
        </w:tc>
      </w:tr>
    </w:tbl>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TSSS2</w:t>
      </w: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TSSS2</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về tài sản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Tiểu khu Nguyễn Du, xã Thường Tín, Thành phố Hà Nội</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https://alonhadat.com.vn/ban-gap-dat-nguyen-du-o-to-phan-lo-via-he-kinh-doanh-dinh-dien-tich-rong-gia-17-9-ty-18294362.html</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SDT: 0988.669.476</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 </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05/2026</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đường nội khu, cách đường Nguyễn Vĩnh Tích khoảng 250m</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6,5m</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89,0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 mặt tiền</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phân lô: hệ thống cấp điện, cấp thoát nước đầy đủ</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17.900.000.000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giao dịch thành công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16.110.000.000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trị tài sản trên đất (đồng) đã bao gồm thang máy</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QSDĐ (đồng/m²)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181.011.236</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Bằng chứng thu thập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r>
            <w:r>
              <mc:AlternateContent>
                <mc:Choice Requires="wpg">
                  <w:drawing>
                    <wp:inline xmlns:wp="http://schemas.openxmlformats.org/drawingml/2006/wordprocessingDrawing" distT="0" distB="0" distL="0" distR="0">
                      <wp:extent cx="6048375" cy="4112402"/>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50401" name=""/>
                              <pic:cNvPicPr>
                                <a:picLocks noChangeAspect="1"/>
                              </pic:cNvPicPr>
                              <pic:nvPr/>
                            </pic:nvPicPr>
                            <pic:blipFill rotWithShape="1">
                              <a:blip r:embed="rId33"/>
                              <a:stretch/>
                            </pic:blipFill>
                            <pic:spPr bwMode="auto">
                              <a:xfrm>
                                <a:off x="0" y="0"/>
                                <a:ext cx="6048374" cy="41124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323.81pt;mso-wrap-distance-left:0.00pt;mso-wrap-distance-top:0.00pt;mso-wrap-distance-right:0.00pt;mso-wrap-distance-bottom:0.00pt;z-index:1;" stroked="false">
                      <v:imagedata r:id="rId33" o:title=""/>
                      <o:lock v:ext="edit" rotation="t"/>
                    </v:shape>
                  </w:pict>
                </mc:Fallback>
              </mc:AlternateContent>
            </w:r>
            <w:r>
              <w:rPr>
                <w:rFonts w:ascii="Times New Roman" w:hAnsi="Times New Roman" w:eastAsia="Times New Roman" w:cs="Times New Roman"/>
                <w:sz w:val="24"/>
              </w:rPr>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mc:AlternateContent>
                <mc:Choice Requires="wpg">
                  <w:drawing>
                    <wp:inline xmlns:wp="http://schemas.openxmlformats.org/drawingml/2006/wordprocessingDrawing" distT="0" distB="0" distL="0" distR="0">
                      <wp:extent cx="6048375" cy="368554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346173" name=""/>
                              <pic:cNvPicPr>
                                <a:picLocks noChangeAspect="1"/>
                              </pic:cNvPicPr>
                              <pic:nvPr/>
                            </pic:nvPicPr>
                            <pic:blipFill rotWithShape="1">
                              <a:blip r:embed="rId34"/>
                              <a:stretch/>
                            </pic:blipFill>
                            <pic:spPr bwMode="auto">
                              <a:xfrm>
                                <a:off x="0" y="0"/>
                                <a:ext cx="6048374" cy="36855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290.20pt;mso-wrap-distance-left:0.00pt;mso-wrap-distance-top:0.00pt;mso-wrap-distance-right:0.00pt;mso-wrap-distance-bottom:0.00pt;z-index:1;" stroked="false">
                      <v:imagedata r:id="rId34" o:title=""/>
                      <o:lock v:ext="edit" rotation="t"/>
                    </v:shape>
                  </w:pict>
                </mc:Fallback>
              </mc:AlternateContent>
            </w:r>
            <w:r>
              <w:rPr>
                <w:rFonts w:ascii="Times New Roman" w:hAnsi="Times New Roman" w:eastAsia="Times New Roman" w:cs="Times New Roman"/>
                <w:b/>
                <w:color w:val="000000"/>
                <w:sz w:val="22"/>
              </w:rPr>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TSSS 3</w:t>
      </w: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về tài sản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Tiểu khu Nguyễn Du, xã Thường Tín, Thành phố Hà Nội</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SDT: 0368434282</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 </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05/2026</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đường nội khu, cách đường Nguyễn Vĩnh Tích khoảng 200m</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6,5m</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75,50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 mặt tiền</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17.500.000.000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giao dịch thành công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14.000.000.000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trị tài sản trên đất (đồng) đã bao gồm thang máy</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QSDĐ (đồng/m²)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185.430.464</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r>
            <w:r>
              <mc:AlternateContent>
                <mc:Choice Requires="wpg">
                  <w:drawing>
                    <wp:inline xmlns:wp="http://schemas.openxmlformats.org/drawingml/2006/wordprocessingDrawing" distT="0" distB="0" distL="0" distR="0">
                      <wp:extent cx="6048375" cy="8149389"/>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29446" name=""/>
                              <pic:cNvPicPr>
                                <a:picLocks noChangeAspect="1"/>
                              </pic:cNvPicPr>
                              <pic:nvPr/>
                            </pic:nvPicPr>
                            <pic:blipFill rotWithShape="1">
                              <a:blip r:embed="rId35"/>
                              <a:stretch/>
                            </pic:blipFill>
                            <pic:spPr bwMode="auto">
                              <a:xfrm>
                                <a:off x="0" y="0"/>
                                <a:ext cx="6048374" cy="81493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41.68pt;mso-wrap-distance-left:0.00pt;mso-wrap-distance-top:0.00pt;mso-wrap-distance-right:0.00pt;mso-wrap-distance-bottom:0.00pt;z-index:1;" stroked="false">
                      <v:imagedata r:id="rId35" o:title=""/>
                      <o:lock v:ext="edit" rotation="t"/>
                    </v:shape>
                  </w:pict>
                </mc:Fallback>
              </mc:AlternateContent>
            </w:r>
            <w:r>
              <mc:AlternateContent>
                <mc:Choice Requires="wpg">
                  <w:drawing>
                    <wp:inline xmlns:wp="http://schemas.openxmlformats.org/drawingml/2006/wordprocessingDrawing" distT="0" distB="0" distL="0" distR="0">
                      <wp:extent cx="6048375" cy="4195844"/>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20791" name=""/>
                              <pic:cNvPicPr>
                                <a:picLocks noChangeAspect="1"/>
                              </pic:cNvPicPr>
                              <pic:nvPr/>
                            </pic:nvPicPr>
                            <pic:blipFill rotWithShape="1">
                              <a:blip r:embed="rId36"/>
                              <a:stretch/>
                            </pic:blipFill>
                            <pic:spPr bwMode="auto">
                              <a:xfrm>
                                <a:off x="0" y="0"/>
                                <a:ext cx="6048374" cy="41958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330.38pt;mso-wrap-distance-left:0.00pt;mso-wrap-distance-top:0.00pt;mso-wrap-distance-right:0.00pt;mso-wrap-distance-bottom:0.00pt;z-index:1;" stroked="false">
                      <v:imagedata r:id="rId36" o:title=""/>
                      <o:lock v:ext="edit" rotation="t"/>
                    </v:shape>
                  </w:pict>
                </mc:Fallback>
              </mc:AlternateContent>
            </w:r>
            <w:r>
              <w:rPr>
                <w:rFonts w:ascii="Times New Roman" w:hAnsi="Times New Roman" w:eastAsia="Times New Roman" w:cs="Times New Roman"/>
                <w:b/>
                <w:color w:val="000000"/>
                <w:sz w:val="22"/>
              </w:rPr>
              <w:t xml:space="preserve"> </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color w:val="000000"/>
          <w:sz w:val="24"/>
        </w:rPr>
        <w:t xml:space="preserve"> </w:t>
      </w:r>
      <w:r/>
    </w:p>
    <w:tbl>
      <w:tblPr>
        <w:tblStyle w:val="1049"/>
        <w:tblInd w:w="108"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427"/>
        <w:gridCol w:w="4776"/>
      </w:tblGrid>
      <w:tr>
        <w:trPr>
          <w:trHeight w:val="312"/>
        </w:trPr>
        <w:tc>
          <w:tcPr>
            <w:tcBorders/>
            <w:tcMar>
              <w:left w:w="108" w:type="dxa"/>
              <w:top w:w="0" w:type="dxa"/>
              <w:right w:w="108" w:type="dxa"/>
              <w:bottom w:w="0" w:type="dxa"/>
            </w:tcMar>
            <w:tcW w:w="44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Người thu thập thông tin</w:t>
            </w:r>
            <w:r/>
          </w:p>
        </w:tc>
      </w:tr>
      <w:tr>
        <w:trPr>
          <w:trHeight w:val="322"/>
        </w:trPr>
        <w:tc>
          <w:tcPr>
            <w:tcBorders/>
            <w:tcMar>
              <w:left w:w="108" w:type="dxa"/>
              <w:top w:w="0" w:type="dxa"/>
              <w:right w:w="108" w:type="dxa"/>
              <w:bottom w:w="0" w:type="dxa"/>
            </w:tcMar>
            <w:tcW w:w="44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Lê Đình Duy</w:t>
            </w:r>
            <w:r/>
          </w:p>
        </w:tc>
      </w:tr>
    </w:tbl>
    <w:p>
      <w:pPr>
        <w:pBdr/>
        <w:spacing w:after="200" w:line="276" w:lineRule="auto"/>
        <w:ind/>
        <w:rPr>
          <w:b/>
          <w:i/>
          <w:iCs/>
          <w:lang w:val="pt-BR"/>
        </w:rPr>
      </w:pPr>
      <w:r>
        <w:rPr>
          <w:b/>
          <w:i/>
          <w:iCs/>
          <w:lang w:val="pt-BR"/>
        </w:rPr>
      </w:r>
      <w:r>
        <w:rPr>
          <w:b/>
          <w:i/>
          <w:iCs/>
          <w:lang w:val="pt-BR"/>
        </w:rPr>
      </w:r>
      <w:r>
        <w:rPr>
          <w:b/>
          <w:i/>
          <w:iCs/>
          <w:lang w:val="pt-BR"/>
        </w:rPr>
      </w:r>
    </w:p>
    <w:sectPr>
      <w:footerReference w:type="even" r:id="rId11"/>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Arial">
    <w:panose1 w:val="020B0604020202020204"/>
  </w:font>
  <w:font w:name="Calibri">
    <w:panose1 w:val="020F050202020403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pPr>
      <w:pStyle w:val="104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683DC55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03C29B1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3A9D51C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3">
    <w:nsid w:val="1C49CD22"/>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Wingdings" w:hAnsi="Wingdings" w:eastAsia="Wingdings" w:cs="Wingdings"/>
      </w:rPr>
      <w:start w:val="1"/>
      <w:suff w:val="tab"/>
    </w:lvl>
    <w:lvl w:ilvl="4">
      <w:isLgl w:val="false"/>
      <w:lvlJc w:val="left"/>
      <w:lvlText w:val=""/>
      <w:numFmt w:val="bullet"/>
      <w:pPr>
        <w:pBdr/>
        <w:spacing/>
        <w:ind w:hanging="360" w:left="3600"/>
      </w:pPr>
      <w:rPr>
        <w:rFonts w:hint="default" w:ascii="Wingdings" w:hAnsi="Wingdings" w:eastAsia="Wingdings" w:cs="Wingdings"/>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Wingdings" w:hAnsi="Wingdings" w:eastAsia="Wingdings" w:cs="Wingdings"/>
      </w:rPr>
      <w:start w:val="1"/>
      <w:suff w:val="tab"/>
    </w:lvl>
    <w:lvl w:ilvl="7">
      <w:isLgl w:val="false"/>
      <w:lvlJc w:val="left"/>
      <w:lvlText w:val=""/>
      <w:numFmt w:val="bullet"/>
      <w:pPr>
        <w:pBdr/>
        <w:spacing/>
        <w:ind w:hanging="360" w:left="5760"/>
      </w:pPr>
      <w:rPr>
        <w:rFonts w:hint="default" w:ascii="Wingdings" w:hAnsi="Wingdings" w:eastAsia="Wingdings" w:cs="Wingdings"/>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4">
    <w:nsid w:val="6B37DA3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5">
    <w:nsid w:val="77067079"/>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6">
    <w:nsid w:val="7509595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7">
    <w:nsid w:val="1AE5F068"/>
    <w:lvl w:ilvl="0">
      <w:isLgl w:val="false"/>
      <w:lvlJc w:val="left"/>
      <w:lvlText w:val="%1."/>
      <w:numFmt w:val="decimal"/>
      <w:pPr>
        <w:pBdr/>
        <w:spacing/>
        <w:ind w:hanging="360" w:left="709"/>
      </w:pPr>
      <w:rPr>
        <w:b/>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abstractNum w:abstractNumId="48">
    <w:nsid w:val="277AA119"/>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9">
    <w:nsid w:val="66D12B29"/>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50">
    <w:nsid w:val="3ADE24E7"/>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51">
    <w:nsid w:val="104B0878"/>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 w:numId="51">
    <w:abstractNumId w:val="49"/>
  </w:num>
  <w:num w:numId="52">
    <w:abstractNumId w:val="50"/>
  </w:num>
  <w:num w:numId="53">
    <w:abstractNumId w:val="5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7">
    <w:name w:val="Table Grid Light"/>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1"/>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2"/>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3"/>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Plain Table 4"/>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Plain Table 5"/>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w:basedOn w:val="102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1"/>
    <w:basedOn w:val="102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2"/>
    <w:basedOn w:val="102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3"/>
    <w:basedOn w:val="102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4"/>
    <w:basedOn w:val="102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1 Light - Accent 5"/>
    <w:basedOn w:val="102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1 Light - Accent 6"/>
    <w:basedOn w:val="102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w:basedOn w:val="102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1"/>
    <w:basedOn w:val="102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2 - Accent 5"/>
    <w:basedOn w:val="102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2 - Accent 6"/>
    <w:basedOn w:val="102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w:basedOn w:val="102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1"/>
    <w:basedOn w:val="102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3 - Accent 5"/>
    <w:basedOn w:val="102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3 - Accent 6"/>
    <w:basedOn w:val="102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w:basedOn w:val="102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1"/>
    <w:basedOn w:val="102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2"/>
    <w:basedOn w:val="102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3"/>
    <w:basedOn w:val="102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4"/>
    <w:basedOn w:val="102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4 - Accent 5"/>
    <w:basedOn w:val="102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4 - Accent 6"/>
    <w:basedOn w:val="102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Accent 1"/>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2"/>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3"/>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Accent 4"/>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5 Dark - Accent 5"/>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5 Dark - Accent 6"/>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6 Colorful"/>
    <w:basedOn w:val="102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9">
    <w:name w:val="Grid Table 6 Colorful - Accent 1"/>
    <w:basedOn w:val="102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0">
    <w:name w:val="Grid Table 6 Colorful - Accent 2"/>
    <w:basedOn w:val="102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1">
    <w:name w:val="Grid Table 6 Colorful - Accent 3"/>
    <w:basedOn w:val="102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2">
    <w:name w:val="Grid Table 6 Colorful - Accent 4"/>
    <w:basedOn w:val="102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3">
    <w:name w:val="Grid Table 6 Colorful - Accent 5"/>
    <w:basedOn w:val="102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4">
    <w:name w:val="Grid Table 6 Colorful - Accent 6"/>
    <w:basedOn w:val="102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5">
    <w:name w:val="Grid Table 7 Colorful"/>
    <w:basedOn w:val="102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1"/>
    <w:basedOn w:val="102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7 Colorful - Accent 5"/>
    <w:basedOn w:val="102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7 Colorful - Accent 6"/>
    <w:basedOn w:val="102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1"/>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2"/>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3"/>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4"/>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1 Light - Accent 5"/>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1 Light - Accent 6"/>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w:basedOn w:val="102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1"/>
    <w:basedOn w:val="102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2"/>
    <w:basedOn w:val="102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3"/>
    <w:basedOn w:val="102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4"/>
    <w:basedOn w:val="102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2 - Accent 5"/>
    <w:basedOn w:val="102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2 - Accent 6"/>
    <w:basedOn w:val="102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w:basedOn w:val="102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1"/>
    <w:basedOn w:val="102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2"/>
    <w:basedOn w:val="102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3"/>
    <w:basedOn w:val="102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4"/>
    <w:basedOn w:val="102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3 - Accent 5"/>
    <w:basedOn w:val="102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3 - Accent 6"/>
    <w:basedOn w:val="102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w:basedOn w:val="102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1"/>
    <w:basedOn w:val="102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2"/>
    <w:basedOn w:val="102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3"/>
    <w:basedOn w:val="102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4"/>
    <w:basedOn w:val="102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4 - Accent 5"/>
    <w:basedOn w:val="102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4 - Accent 6"/>
    <w:basedOn w:val="102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5 Dark"/>
    <w:basedOn w:val="102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1"/>
    <w:basedOn w:val="102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2"/>
    <w:basedOn w:val="102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3"/>
    <w:basedOn w:val="102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4"/>
    <w:basedOn w:val="102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5 Dark - Accent 5"/>
    <w:basedOn w:val="102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6">
    <w:name w:val="List Table 5 Dark - Accent 6"/>
    <w:basedOn w:val="102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7">
    <w:name w:val="List Table 6 Colorful"/>
    <w:basedOn w:val="102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1"/>
    <w:basedOn w:val="102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2"/>
    <w:basedOn w:val="102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3"/>
    <w:basedOn w:val="102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4"/>
    <w:basedOn w:val="102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6 Colorful - Accent 5"/>
    <w:basedOn w:val="102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6 Colorful - Accent 6"/>
    <w:basedOn w:val="102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7 Colorful"/>
    <w:basedOn w:val="102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5">
    <w:name w:val="List Table 7 Colorful - Accent 1"/>
    <w:basedOn w:val="102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6">
    <w:name w:val="List Table 7 Colorful - Accent 2"/>
    <w:basedOn w:val="102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7">
    <w:name w:val="List Table 7 Colorful - Accent 3"/>
    <w:basedOn w:val="102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8">
    <w:name w:val="List Table 7 Colorful - Accent 4"/>
    <w:basedOn w:val="102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9">
    <w:name w:val="List Table 7 Colorful - Accent 5"/>
    <w:basedOn w:val="102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0">
    <w:name w:val="List Table 7 Colorful - Accent 6"/>
    <w:basedOn w:val="102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1">
    <w:name w:val="Lined - Accent"/>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1"/>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2"/>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3"/>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4"/>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ned - Accent 5"/>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ned - Accent 6"/>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w:basedOn w:val="102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1"/>
    <w:basedOn w:val="102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2"/>
    <w:basedOn w:val="102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3"/>
    <w:basedOn w:val="102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4"/>
    <w:basedOn w:val="102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amp; Lined - Accent 5"/>
    <w:basedOn w:val="102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amp; Lined - Accent 6"/>
    <w:basedOn w:val="102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w:basedOn w:val="102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1"/>
    <w:basedOn w:val="102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2"/>
    <w:basedOn w:val="102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3"/>
    <w:basedOn w:val="102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4"/>
    <w:basedOn w:val="102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 Accent 5"/>
    <w:basedOn w:val="102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 Accent 6"/>
    <w:basedOn w:val="102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2">
    <w:name w:val="Heading 5"/>
    <w:basedOn w:val="1023"/>
    <w:next w:val="1023"/>
    <w:link w:val="98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3">
    <w:name w:val="Heading 6"/>
    <w:basedOn w:val="1023"/>
    <w:next w:val="1023"/>
    <w:link w:val="98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4">
    <w:name w:val="Heading 7"/>
    <w:basedOn w:val="1023"/>
    <w:next w:val="1023"/>
    <w:link w:val="98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5">
    <w:name w:val="Heading 8"/>
    <w:basedOn w:val="1023"/>
    <w:next w:val="1023"/>
    <w:link w:val="99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6">
    <w:name w:val="Heading 9"/>
    <w:basedOn w:val="1023"/>
    <w:next w:val="1023"/>
    <w:link w:val="99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7">
    <w:name w:val="Heading 5 Char"/>
    <w:basedOn w:val="1028"/>
    <w:link w:val="982"/>
    <w:uiPriority w:val="9"/>
    <w:pPr>
      <w:pBdr/>
      <w:spacing/>
      <w:ind/>
    </w:pPr>
    <w:rPr>
      <w:rFonts w:ascii="Arial" w:hAnsi="Arial" w:eastAsia="Arial" w:cs="Arial"/>
      <w:color w:val="0f4761" w:themeColor="accent1" w:themeShade="BF"/>
    </w:rPr>
  </w:style>
  <w:style w:type="character" w:styleId="988">
    <w:name w:val="Heading 6 Char"/>
    <w:basedOn w:val="1028"/>
    <w:link w:val="983"/>
    <w:uiPriority w:val="9"/>
    <w:pPr>
      <w:pBdr/>
      <w:spacing/>
      <w:ind/>
    </w:pPr>
    <w:rPr>
      <w:rFonts w:ascii="Arial" w:hAnsi="Arial" w:eastAsia="Arial" w:cs="Arial"/>
      <w:i/>
      <w:iCs/>
      <w:color w:val="595959" w:themeColor="text1" w:themeTint="A6"/>
    </w:rPr>
  </w:style>
  <w:style w:type="character" w:styleId="989">
    <w:name w:val="Heading 7 Char"/>
    <w:basedOn w:val="1028"/>
    <w:link w:val="984"/>
    <w:uiPriority w:val="9"/>
    <w:pPr>
      <w:pBdr/>
      <w:spacing/>
      <w:ind/>
    </w:pPr>
    <w:rPr>
      <w:rFonts w:ascii="Arial" w:hAnsi="Arial" w:eastAsia="Arial" w:cs="Arial"/>
      <w:color w:val="595959" w:themeColor="text1" w:themeTint="A6"/>
    </w:rPr>
  </w:style>
  <w:style w:type="character" w:styleId="990">
    <w:name w:val="Heading 8 Char"/>
    <w:basedOn w:val="1028"/>
    <w:link w:val="985"/>
    <w:uiPriority w:val="9"/>
    <w:pPr>
      <w:pBdr/>
      <w:spacing/>
      <w:ind/>
    </w:pPr>
    <w:rPr>
      <w:rFonts w:ascii="Arial" w:hAnsi="Arial" w:eastAsia="Arial" w:cs="Arial"/>
      <w:i/>
      <w:iCs/>
      <w:color w:val="272727" w:themeColor="text1" w:themeTint="D8"/>
    </w:rPr>
  </w:style>
  <w:style w:type="character" w:styleId="991">
    <w:name w:val="Heading 9 Char"/>
    <w:basedOn w:val="1028"/>
    <w:link w:val="986"/>
    <w:uiPriority w:val="9"/>
    <w:pPr>
      <w:pBdr/>
      <w:spacing/>
      <w:ind/>
    </w:pPr>
    <w:rPr>
      <w:rFonts w:ascii="Arial" w:hAnsi="Arial" w:eastAsia="Arial" w:cs="Arial"/>
      <w:i/>
      <w:iCs/>
      <w:color w:val="272727" w:themeColor="text1" w:themeTint="D8"/>
    </w:rPr>
  </w:style>
  <w:style w:type="paragraph" w:styleId="992">
    <w:name w:val="Subtitle"/>
    <w:basedOn w:val="1023"/>
    <w:next w:val="1023"/>
    <w:link w:val="993"/>
    <w:uiPriority w:val="11"/>
    <w:qFormat/>
    <w:pPr>
      <w:numPr>
        <w:ilvl w:val="1"/>
      </w:numPr>
      <w:pBdr/>
      <w:spacing/>
      <w:ind/>
    </w:pPr>
    <w:rPr>
      <w:color w:val="595959" w:themeColor="text1" w:themeTint="A6"/>
      <w:spacing w:val="15"/>
      <w:sz w:val="28"/>
      <w:szCs w:val="28"/>
    </w:rPr>
  </w:style>
  <w:style w:type="character" w:styleId="993">
    <w:name w:val="Subtitle Char"/>
    <w:basedOn w:val="1028"/>
    <w:link w:val="992"/>
    <w:uiPriority w:val="11"/>
    <w:pPr>
      <w:pBdr/>
      <w:spacing/>
      <w:ind/>
    </w:pPr>
    <w:rPr>
      <w:color w:val="595959" w:themeColor="text1" w:themeTint="A6"/>
      <w:spacing w:val="15"/>
      <w:sz w:val="28"/>
      <w:szCs w:val="28"/>
    </w:rPr>
  </w:style>
  <w:style w:type="paragraph" w:styleId="994">
    <w:name w:val="Quote"/>
    <w:basedOn w:val="1023"/>
    <w:next w:val="1023"/>
    <w:link w:val="995"/>
    <w:uiPriority w:val="29"/>
    <w:qFormat/>
    <w:pPr>
      <w:pBdr/>
      <w:spacing w:before="160"/>
      <w:ind/>
      <w:jc w:val="center"/>
    </w:pPr>
    <w:rPr>
      <w:i/>
      <w:iCs/>
      <w:color w:val="404040" w:themeColor="text1" w:themeTint="BF"/>
    </w:rPr>
  </w:style>
  <w:style w:type="character" w:styleId="995">
    <w:name w:val="Quote Char"/>
    <w:basedOn w:val="1028"/>
    <w:link w:val="994"/>
    <w:uiPriority w:val="29"/>
    <w:pPr>
      <w:pBdr/>
      <w:spacing/>
      <w:ind/>
    </w:pPr>
    <w:rPr>
      <w:i/>
      <w:iCs/>
      <w:color w:val="404040" w:themeColor="text1" w:themeTint="BF"/>
    </w:rPr>
  </w:style>
  <w:style w:type="character" w:styleId="996">
    <w:name w:val="Intense Emphasis"/>
    <w:basedOn w:val="1028"/>
    <w:uiPriority w:val="21"/>
    <w:qFormat/>
    <w:pPr>
      <w:pBdr/>
      <w:spacing/>
      <w:ind/>
    </w:pPr>
    <w:rPr>
      <w:i/>
      <w:iCs/>
      <w:color w:val="0f4761" w:themeColor="accent1" w:themeShade="BF"/>
    </w:rPr>
  </w:style>
  <w:style w:type="paragraph" w:styleId="997">
    <w:name w:val="Intense Quote"/>
    <w:basedOn w:val="1023"/>
    <w:next w:val="1023"/>
    <w:link w:val="99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8">
    <w:name w:val="Intense Quote Char"/>
    <w:basedOn w:val="1028"/>
    <w:link w:val="997"/>
    <w:uiPriority w:val="30"/>
    <w:pPr>
      <w:pBdr/>
      <w:spacing/>
      <w:ind/>
    </w:pPr>
    <w:rPr>
      <w:i/>
      <w:iCs/>
      <w:color w:val="0f4761" w:themeColor="accent1" w:themeShade="BF"/>
    </w:rPr>
  </w:style>
  <w:style w:type="character" w:styleId="999">
    <w:name w:val="Intense Reference"/>
    <w:basedOn w:val="1028"/>
    <w:uiPriority w:val="32"/>
    <w:qFormat/>
    <w:pPr>
      <w:pBdr/>
      <w:spacing/>
      <w:ind/>
    </w:pPr>
    <w:rPr>
      <w:b/>
      <w:bCs/>
      <w:smallCaps/>
      <w:color w:val="0f4761" w:themeColor="accent1" w:themeShade="BF"/>
      <w:spacing w:val="5"/>
    </w:rPr>
  </w:style>
  <w:style w:type="paragraph" w:styleId="1000">
    <w:name w:val="No Spacing"/>
    <w:basedOn w:val="1023"/>
    <w:uiPriority w:val="1"/>
    <w:qFormat/>
    <w:pPr>
      <w:pBdr/>
      <w:spacing w:after="0" w:line="240" w:lineRule="auto"/>
      <w:ind/>
    </w:pPr>
  </w:style>
  <w:style w:type="character" w:styleId="1001">
    <w:name w:val="Subtle Emphasis"/>
    <w:basedOn w:val="1028"/>
    <w:uiPriority w:val="19"/>
    <w:qFormat/>
    <w:pPr>
      <w:pBdr/>
      <w:spacing/>
      <w:ind/>
    </w:pPr>
    <w:rPr>
      <w:i/>
      <w:iCs/>
      <w:color w:val="404040" w:themeColor="text1" w:themeTint="BF"/>
    </w:rPr>
  </w:style>
  <w:style w:type="character" w:styleId="1002">
    <w:name w:val="Subtle Reference"/>
    <w:basedOn w:val="1028"/>
    <w:uiPriority w:val="31"/>
    <w:qFormat/>
    <w:pPr>
      <w:pBdr/>
      <w:spacing/>
      <w:ind/>
    </w:pPr>
    <w:rPr>
      <w:smallCaps/>
      <w:color w:val="5a5a5a" w:themeColor="text1" w:themeTint="A5"/>
    </w:rPr>
  </w:style>
  <w:style w:type="character" w:styleId="1003">
    <w:name w:val="Book Title"/>
    <w:basedOn w:val="1028"/>
    <w:uiPriority w:val="33"/>
    <w:qFormat/>
    <w:pPr>
      <w:pBdr/>
      <w:spacing/>
      <w:ind/>
    </w:pPr>
    <w:rPr>
      <w:b/>
      <w:bCs/>
      <w:i/>
      <w:iCs/>
      <w:spacing w:val="5"/>
    </w:rPr>
  </w:style>
  <w:style w:type="paragraph" w:styleId="1004">
    <w:name w:val="Caption"/>
    <w:basedOn w:val="1023"/>
    <w:next w:val="1023"/>
    <w:uiPriority w:val="35"/>
    <w:unhideWhenUsed/>
    <w:qFormat/>
    <w:pPr>
      <w:pBdr/>
      <w:spacing w:after="200" w:line="240" w:lineRule="auto"/>
      <w:ind/>
    </w:pPr>
    <w:rPr>
      <w:i/>
      <w:iCs/>
      <w:color w:val="0e2841" w:themeColor="text2"/>
      <w:sz w:val="18"/>
      <w:szCs w:val="18"/>
    </w:rPr>
  </w:style>
  <w:style w:type="paragraph" w:styleId="1005">
    <w:name w:val="footnote text"/>
    <w:basedOn w:val="1023"/>
    <w:link w:val="1006"/>
    <w:uiPriority w:val="99"/>
    <w:semiHidden/>
    <w:unhideWhenUsed/>
    <w:pPr>
      <w:pBdr/>
      <w:spacing w:after="0" w:line="240" w:lineRule="auto"/>
      <w:ind/>
    </w:pPr>
    <w:rPr>
      <w:sz w:val="20"/>
      <w:szCs w:val="20"/>
    </w:rPr>
  </w:style>
  <w:style w:type="character" w:styleId="1006">
    <w:name w:val="Footnote Text Char"/>
    <w:basedOn w:val="1028"/>
    <w:link w:val="1005"/>
    <w:uiPriority w:val="99"/>
    <w:semiHidden/>
    <w:pPr>
      <w:pBdr/>
      <w:spacing/>
      <w:ind/>
    </w:pPr>
    <w:rPr>
      <w:sz w:val="20"/>
      <w:szCs w:val="20"/>
    </w:rPr>
  </w:style>
  <w:style w:type="character" w:styleId="1007">
    <w:name w:val="footnote reference"/>
    <w:basedOn w:val="1028"/>
    <w:uiPriority w:val="99"/>
    <w:semiHidden/>
    <w:unhideWhenUsed/>
    <w:pPr>
      <w:pBdr/>
      <w:spacing/>
      <w:ind/>
    </w:pPr>
    <w:rPr>
      <w:vertAlign w:val="superscript"/>
    </w:rPr>
  </w:style>
  <w:style w:type="paragraph" w:styleId="1008">
    <w:name w:val="endnote text"/>
    <w:basedOn w:val="1023"/>
    <w:link w:val="1009"/>
    <w:uiPriority w:val="99"/>
    <w:semiHidden/>
    <w:unhideWhenUsed/>
    <w:pPr>
      <w:pBdr/>
      <w:spacing w:after="0" w:line="240" w:lineRule="auto"/>
      <w:ind/>
    </w:pPr>
    <w:rPr>
      <w:sz w:val="20"/>
      <w:szCs w:val="20"/>
    </w:rPr>
  </w:style>
  <w:style w:type="character" w:styleId="1009">
    <w:name w:val="Endnote Text Char"/>
    <w:basedOn w:val="1028"/>
    <w:link w:val="1008"/>
    <w:uiPriority w:val="99"/>
    <w:semiHidden/>
    <w:pPr>
      <w:pBdr/>
      <w:spacing/>
      <w:ind/>
    </w:pPr>
    <w:rPr>
      <w:sz w:val="20"/>
      <w:szCs w:val="20"/>
    </w:rPr>
  </w:style>
  <w:style w:type="character" w:styleId="1010">
    <w:name w:val="endnote reference"/>
    <w:basedOn w:val="1028"/>
    <w:uiPriority w:val="99"/>
    <w:semiHidden/>
    <w:unhideWhenUsed/>
    <w:pPr>
      <w:pBdr/>
      <w:spacing/>
      <w:ind/>
    </w:pPr>
    <w:rPr>
      <w:vertAlign w:val="superscript"/>
    </w:rPr>
  </w:style>
  <w:style w:type="paragraph" w:styleId="1011">
    <w:name w:val="toc 1"/>
    <w:basedOn w:val="1023"/>
    <w:next w:val="1023"/>
    <w:uiPriority w:val="39"/>
    <w:unhideWhenUsed/>
    <w:pPr>
      <w:pBdr/>
      <w:spacing w:after="100"/>
      <w:ind/>
    </w:pPr>
  </w:style>
  <w:style w:type="paragraph" w:styleId="1012">
    <w:name w:val="toc 2"/>
    <w:basedOn w:val="1023"/>
    <w:next w:val="1023"/>
    <w:uiPriority w:val="39"/>
    <w:unhideWhenUsed/>
    <w:pPr>
      <w:pBdr/>
      <w:spacing w:after="100"/>
      <w:ind w:left="220"/>
    </w:pPr>
  </w:style>
  <w:style w:type="paragraph" w:styleId="1013">
    <w:name w:val="toc 3"/>
    <w:basedOn w:val="1023"/>
    <w:next w:val="1023"/>
    <w:uiPriority w:val="39"/>
    <w:unhideWhenUsed/>
    <w:pPr>
      <w:pBdr/>
      <w:spacing w:after="100"/>
      <w:ind w:left="440"/>
    </w:pPr>
  </w:style>
  <w:style w:type="paragraph" w:styleId="1014">
    <w:name w:val="toc 4"/>
    <w:basedOn w:val="1023"/>
    <w:next w:val="1023"/>
    <w:uiPriority w:val="39"/>
    <w:unhideWhenUsed/>
    <w:pPr>
      <w:pBdr/>
      <w:spacing w:after="100"/>
      <w:ind w:left="660"/>
    </w:pPr>
  </w:style>
  <w:style w:type="paragraph" w:styleId="1015">
    <w:name w:val="toc 5"/>
    <w:basedOn w:val="1023"/>
    <w:next w:val="1023"/>
    <w:uiPriority w:val="39"/>
    <w:unhideWhenUsed/>
    <w:pPr>
      <w:pBdr/>
      <w:spacing w:after="100"/>
      <w:ind w:left="880"/>
    </w:pPr>
  </w:style>
  <w:style w:type="paragraph" w:styleId="1016">
    <w:name w:val="toc 6"/>
    <w:basedOn w:val="1023"/>
    <w:next w:val="1023"/>
    <w:uiPriority w:val="39"/>
    <w:unhideWhenUsed/>
    <w:pPr>
      <w:pBdr/>
      <w:spacing w:after="100"/>
      <w:ind w:left="1100"/>
    </w:pPr>
  </w:style>
  <w:style w:type="paragraph" w:styleId="1017">
    <w:name w:val="toc 7"/>
    <w:basedOn w:val="1023"/>
    <w:next w:val="1023"/>
    <w:uiPriority w:val="39"/>
    <w:unhideWhenUsed/>
    <w:pPr>
      <w:pBdr/>
      <w:spacing w:after="100"/>
      <w:ind w:left="1320"/>
    </w:pPr>
  </w:style>
  <w:style w:type="paragraph" w:styleId="1018">
    <w:name w:val="toc 8"/>
    <w:basedOn w:val="1023"/>
    <w:next w:val="1023"/>
    <w:uiPriority w:val="39"/>
    <w:unhideWhenUsed/>
    <w:pPr>
      <w:pBdr/>
      <w:spacing w:after="100"/>
      <w:ind w:left="1540"/>
    </w:pPr>
  </w:style>
  <w:style w:type="paragraph" w:styleId="1019">
    <w:name w:val="toc 9"/>
    <w:basedOn w:val="1023"/>
    <w:next w:val="1023"/>
    <w:uiPriority w:val="39"/>
    <w:unhideWhenUsed/>
    <w:pPr>
      <w:pBdr/>
      <w:spacing w:after="100"/>
      <w:ind w:left="1760"/>
    </w:pPr>
  </w:style>
  <w:style w:type="character" w:styleId="1020">
    <w:name w:val="Placeholder Text"/>
    <w:basedOn w:val="1028"/>
    <w:uiPriority w:val="99"/>
    <w:semiHidden/>
    <w:pPr>
      <w:pBdr/>
      <w:spacing/>
      <w:ind/>
    </w:pPr>
    <w:rPr>
      <w:color w:val="666666"/>
    </w:rPr>
  </w:style>
  <w:style w:type="paragraph" w:styleId="1021">
    <w:name w:val="TOC Heading"/>
    <w:uiPriority w:val="39"/>
    <w:unhideWhenUsed/>
    <w:pPr>
      <w:pBdr/>
      <w:spacing/>
      <w:ind/>
    </w:pPr>
  </w:style>
  <w:style w:type="paragraph" w:styleId="1022">
    <w:name w:val="table of figures"/>
    <w:basedOn w:val="1023"/>
    <w:next w:val="1023"/>
    <w:uiPriority w:val="99"/>
    <w:unhideWhenUsed/>
    <w:pPr>
      <w:pBdr/>
      <w:spacing w:after="0" w:afterAutospacing="0"/>
      <w:ind/>
    </w:pPr>
  </w:style>
  <w:style w:type="paragraph" w:styleId="1023" w:default="1">
    <w:name w:val="Normal"/>
    <w:qFormat/>
    <w:pPr>
      <w:pBdr/>
      <w:spacing w:after="0" w:line="240" w:lineRule="auto"/>
      <w:ind/>
    </w:pPr>
    <w:rPr>
      <w:rFonts w:ascii="Times New Roman" w:hAnsi="Times New Roman" w:eastAsia="Times New Roman" w:cs="Times New Roman"/>
      <w:sz w:val="24"/>
      <w:szCs w:val="24"/>
    </w:rPr>
  </w:style>
  <w:style w:type="paragraph" w:styleId="1024">
    <w:name w:val="Heading 1"/>
    <w:basedOn w:val="1023"/>
    <w:next w:val="1023"/>
    <w:link w:val="1031"/>
    <w:qFormat/>
    <w:pPr>
      <w:keepNext w:val="true"/>
      <w:pBdr/>
      <w:spacing w:after="120" w:before="120"/>
      <w:ind/>
      <w:jc w:val="center"/>
      <w:outlineLvl w:val="0"/>
    </w:pPr>
    <w:rPr>
      <w:b/>
      <w:bCs/>
      <w:sz w:val="27"/>
      <w:szCs w:val="27"/>
    </w:rPr>
  </w:style>
  <w:style w:type="paragraph" w:styleId="1025">
    <w:name w:val="Heading 2"/>
    <w:basedOn w:val="1023"/>
    <w:next w:val="1023"/>
    <w:link w:val="103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6">
    <w:name w:val="Heading 3"/>
    <w:basedOn w:val="1023"/>
    <w:next w:val="1023"/>
    <w:link w:val="1033"/>
    <w:qFormat/>
    <w:pPr>
      <w:keepNext w:val="true"/>
      <w:pBdr/>
      <w:spacing w:before="60"/>
      <w:ind/>
      <w:outlineLvl w:val="2"/>
    </w:pPr>
    <w:rPr>
      <w:sz w:val="28"/>
      <w:szCs w:val="28"/>
    </w:rPr>
  </w:style>
  <w:style w:type="paragraph" w:styleId="1027">
    <w:name w:val="Heading 4"/>
    <w:basedOn w:val="1023"/>
    <w:next w:val="1023"/>
    <w:link w:val="1034"/>
    <w:qFormat/>
    <w:pPr>
      <w:keepNext w:val="true"/>
      <w:pBdr/>
      <w:spacing/>
      <w:ind/>
      <w:jc w:val="center"/>
      <w:outlineLvl w:val="3"/>
    </w:pPr>
    <w:rPr>
      <w:b/>
      <w:bCs/>
    </w:rPr>
  </w:style>
  <w:style w:type="character" w:styleId="1028" w:default="1">
    <w:name w:val="Default Paragraph Font"/>
    <w:uiPriority w:val="1"/>
    <w:semiHidden/>
    <w:unhideWhenUsed/>
    <w:pPr>
      <w:pBdr/>
      <w:spacing/>
      <w:ind/>
    </w:pPr>
  </w:style>
  <w:style w:type="table" w:styleId="102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0" w:default="1">
    <w:name w:val="No List"/>
    <w:uiPriority w:val="99"/>
    <w:semiHidden/>
    <w:unhideWhenUsed/>
    <w:pPr>
      <w:pBdr/>
      <w:spacing/>
      <w:ind/>
    </w:pPr>
  </w:style>
  <w:style w:type="character" w:styleId="1031" w:customStyle="1">
    <w:name w:val="Heading 1 Char"/>
    <w:basedOn w:val="1028"/>
    <w:link w:val="1024"/>
    <w:pPr>
      <w:pBdr/>
      <w:spacing/>
      <w:ind/>
    </w:pPr>
    <w:rPr>
      <w:rFonts w:ascii="Times New Roman" w:hAnsi="Times New Roman" w:eastAsia="Times New Roman" w:cs="Times New Roman"/>
      <w:b/>
      <w:bCs/>
      <w:sz w:val="27"/>
      <w:szCs w:val="27"/>
    </w:rPr>
  </w:style>
  <w:style w:type="character" w:styleId="1032" w:customStyle="1">
    <w:name w:val="Heading 2 Char"/>
    <w:basedOn w:val="1028"/>
    <w:link w:val="1025"/>
    <w:uiPriority w:val="9"/>
    <w:pPr>
      <w:pBdr/>
      <w:spacing/>
      <w:ind/>
    </w:pPr>
    <w:rPr>
      <w:rFonts w:asciiTheme="majorHAnsi" w:hAnsiTheme="majorHAnsi" w:eastAsiaTheme="majorEastAsia" w:cstheme="majorBidi"/>
      <w:color w:val="365f91" w:themeColor="accent1" w:themeShade="BF"/>
      <w:sz w:val="26"/>
      <w:szCs w:val="26"/>
    </w:rPr>
  </w:style>
  <w:style w:type="character" w:styleId="1033" w:customStyle="1">
    <w:name w:val="Heading 3 Char"/>
    <w:basedOn w:val="1028"/>
    <w:link w:val="1026"/>
    <w:pPr>
      <w:pBdr/>
      <w:spacing/>
      <w:ind/>
    </w:pPr>
    <w:rPr>
      <w:rFonts w:ascii="Times New Roman" w:hAnsi="Times New Roman" w:eastAsia="Times New Roman" w:cs="Times New Roman"/>
      <w:sz w:val="28"/>
      <w:szCs w:val="28"/>
    </w:rPr>
  </w:style>
  <w:style w:type="character" w:styleId="1034" w:customStyle="1">
    <w:name w:val="Heading 4 Char"/>
    <w:basedOn w:val="1028"/>
    <w:link w:val="1027"/>
    <w:pPr>
      <w:pBdr/>
      <w:spacing/>
      <w:ind/>
    </w:pPr>
    <w:rPr>
      <w:rFonts w:ascii="Times New Roman" w:hAnsi="Times New Roman" w:eastAsia="Times New Roman" w:cs="Times New Roman"/>
      <w:b/>
      <w:bCs/>
      <w:sz w:val="24"/>
      <w:szCs w:val="24"/>
    </w:rPr>
  </w:style>
  <w:style w:type="character" w:styleId="1035">
    <w:name w:val="Hyperlink"/>
    <w:uiPriority w:val="99"/>
    <w:pPr>
      <w:pBdr/>
      <w:spacing/>
      <w:ind/>
    </w:pPr>
    <w:rPr>
      <w:color w:val="000000"/>
      <w:u w:val="single"/>
    </w:rPr>
  </w:style>
  <w:style w:type="character" w:styleId="1036">
    <w:name w:val="Strong"/>
    <w:uiPriority w:val="22"/>
    <w:qFormat/>
    <w:pPr>
      <w:pBdr/>
      <w:spacing/>
      <w:ind/>
    </w:pPr>
    <w:rPr>
      <w:b/>
      <w:bCs/>
    </w:rPr>
  </w:style>
  <w:style w:type="paragraph" w:styleId="1037">
    <w:name w:val="Balloon Text"/>
    <w:basedOn w:val="1023"/>
    <w:link w:val="1038"/>
    <w:uiPriority w:val="99"/>
    <w:semiHidden/>
    <w:unhideWhenUsed/>
    <w:pPr>
      <w:pBdr/>
      <w:spacing/>
      <w:ind/>
    </w:pPr>
    <w:rPr>
      <w:rFonts w:ascii="Tahoma" w:hAnsi="Tahoma" w:cs="Tahoma"/>
      <w:sz w:val="16"/>
      <w:szCs w:val="16"/>
    </w:rPr>
  </w:style>
  <w:style w:type="character" w:styleId="1038" w:customStyle="1">
    <w:name w:val="Balloon Text Char"/>
    <w:basedOn w:val="1028"/>
    <w:link w:val="1037"/>
    <w:uiPriority w:val="99"/>
    <w:semiHidden/>
    <w:pPr>
      <w:pBdr/>
      <w:spacing/>
      <w:ind/>
    </w:pPr>
    <w:rPr>
      <w:rFonts w:ascii="Tahoma" w:hAnsi="Tahoma" w:eastAsia="Times New Roman" w:cs="Tahoma"/>
      <w:sz w:val="16"/>
      <w:szCs w:val="16"/>
    </w:rPr>
  </w:style>
  <w:style w:type="paragraph" w:styleId="1039">
    <w:name w:val="Header"/>
    <w:basedOn w:val="1023"/>
    <w:link w:val="1040"/>
    <w:unhideWhenUsed/>
    <w:pPr>
      <w:pBdr/>
      <w:tabs>
        <w:tab w:val="center" w:leader="none" w:pos="4680"/>
        <w:tab w:val="right" w:leader="none" w:pos="9360"/>
      </w:tabs>
      <w:spacing/>
      <w:ind/>
    </w:pPr>
  </w:style>
  <w:style w:type="character" w:styleId="1040" w:customStyle="1">
    <w:name w:val="Header Char"/>
    <w:basedOn w:val="1028"/>
    <w:link w:val="1039"/>
    <w:pPr>
      <w:pBdr/>
      <w:spacing/>
      <w:ind/>
    </w:pPr>
    <w:rPr>
      <w:rFonts w:ascii="Times New Roman" w:hAnsi="Times New Roman" w:eastAsia="Times New Roman" w:cs="Times New Roman"/>
      <w:sz w:val="24"/>
      <w:szCs w:val="24"/>
    </w:rPr>
  </w:style>
  <w:style w:type="paragraph" w:styleId="1041">
    <w:name w:val="Footer"/>
    <w:basedOn w:val="1023"/>
    <w:link w:val="1042"/>
    <w:uiPriority w:val="99"/>
    <w:unhideWhenUsed/>
    <w:pPr>
      <w:pBdr/>
      <w:tabs>
        <w:tab w:val="center" w:leader="none" w:pos="4680"/>
        <w:tab w:val="right" w:leader="none" w:pos="9360"/>
      </w:tabs>
      <w:spacing/>
      <w:ind/>
    </w:pPr>
  </w:style>
  <w:style w:type="character" w:styleId="1042" w:customStyle="1">
    <w:name w:val="Footer Char"/>
    <w:basedOn w:val="1028"/>
    <w:link w:val="1041"/>
    <w:uiPriority w:val="99"/>
    <w:pPr>
      <w:pBdr/>
      <w:spacing/>
      <w:ind/>
    </w:pPr>
    <w:rPr>
      <w:rFonts w:ascii="Times New Roman" w:hAnsi="Times New Roman" w:eastAsia="Times New Roman" w:cs="Times New Roman"/>
      <w:sz w:val="24"/>
      <w:szCs w:val="24"/>
    </w:rPr>
  </w:style>
  <w:style w:type="character" w:styleId="1043" w:customStyle="1">
    <w:name w:val="normal-h1"/>
    <w:pPr>
      <w:pBdr/>
      <w:spacing/>
      <w:ind/>
    </w:pPr>
    <w:rPr>
      <w:rFonts w:hint="default" w:ascii=".VnTime" w:hAnsi=".VnTime"/>
      <w:color w:val="0000ff"/>
      <w:sz w:val="24"/>
      <w:szCs w:val="24"/>
    </w:rPr>
  </w:style>
  <w:style w:type="paragraph" w:styleId="1044" w:customStyle="1">
    <w:name w:val="normal-p"/>
    <w:basedOn w:val="1023"/>
    <w:pPr>
      <w:pBdr/>
      <w:spacing/>
      <w:ind/>
      <w:jc w:val="both"/>
    </w:pPr>
    <w:rPr>
      <w:sz w:val="20"/>
      <w:szCs w:val="20"/>
    </w:rPr>
  </w:style>
  <w:style w:type="paragraph" w:styleId="1045">
    <w:name w:val="List Paragraph"/>
    <w:basedOn w:val="1023"/>
    <w:link w:val="1132"/>
    <w:uiPriority w:val="34"/>
    <w:qFormat/>
    <w:pPr>
      <w:pBdr/>
      <w:spacing/>
      <w:ind w:left="720"/>
    </w:pPr>
  </w:style>
  <w:style w:type="paragraph" w:styleId="1046">
    <w:name w:val="Normal (Web)"/>
    <w:basedOn w:val="1023"/>
    <w:uiPriority w:val="99"/>
    <w:pPr>
      <w:pBdr/>
      <w:spacing w:after="100" w:afterAutospacing="1" w:before="100" w:beforeAutospacing="1"/>
      <w:ind/>
    </w:pPr>
  </w:style>
  <w:style w:type="paragraph" w:styleId="1047">
    <w:name w:val="Body Text"/>
    <w:basedOn w:val="1023"/>
    <w:link w:val="1048"/>
    <w:pPr>
      <w:pBdr/>
      <w:spacing w:after="120"/>
      <w:ind/>
      <w:jc w:val="both"/>
    </w:pPr>
  </w:style>
  <w:style w:type="character" w:styleId="1048" w:customStyle="1">
    <w:name w:val="Body Text Char"/>
    <w:basedOn w:val="1028"/>
    <w:link w:val="1047"/>
    <w:pPr>
      <w:pBdr/>
      <w:spacing/>
      <w:ind/>
    </w:pPr>
    <w:rPr>
      <w:rFonts w:ascii="Times New Roman" w:hAnsi="Times New Roman" w:eastAsia="Times New Roman" w:cs="Times New Roman"/>
      <w:sz w:val="24"/>
      <w:szCs w:val="24"/>
    </w:rPr>
  </w:style>
  <w:style w:type="table" w:styleId="1049">
    <w:name w:val="Table Grid"/>
    <w:basedOn w:val="102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1">
    <w:name w:val="annotation reference"/>
    <w:basedOn w:val="1028"/>
    <w:uiPriority w:val="99"/>
    <w:semiHidden/>
    <w:unhideWhenUsed/>
    <w:pPr>
      <w:pBdr/>
      <w:spacing/>
      <w:ind/>
    </w:pPr>
    <w:rPr>
      <w:sz w:val="16"/>
      <w:szCs w:val="16"/>
    </w:rPr>
  </w:style>
  <w:style w:type="paragraph" w:styleId="1052">
    <w:name w:val="annotation text"/>
    <w:basedOn w:val="1023"/>
    <w:link w:val="1053"/>
    <w:uiPriority w:val="99"/>
    <w:unhideWhenUsed/>
    <w:pPr>
      <w:pBdr/>
      <w:spacing/>
      <w:ind/>
    </w:pPr>
    <w:rPr>
      <w:sz w:val="20"/>
      <w:szCs w:val="20"/>
    </w:rPr>
  </w:style>
  <w:style w:type="character" w:styleId="1053" w:customStyle="1">
    <w:name w:val="Comment Text Char"/>
    <w:basedOn w:val="1028"/>
    <w:link w:val="1052"/>
    <w:uiPriority w:val="99"/>
    <w:pPr>
      <w:pBdr/>
      <w:spacing/>
      <w:ind/>
    </w:pPr>
    <w:rPr>
      <w:rFonts w:ascii="Times New Roman" w:hAnsi="Times New Roman" w:eastAsia="Times New Roman" w:cs="Times New Roman"/>
      <w:sz w:val="20"/>
      <w:szCs w:val="20"/>
    </w:rPr>
  </w:style>
  <w:style w:type="paragraph" w:styleId="1054">
    <w:name w:val="annotation subject"/>
    <w:basedOn w:val="1052"/>
    <w:next w:val="1052"/>
    <w:link w:val="1055"/>
    <w:uiPriority w:val="99"/>
    <w:semiHidden/>
    <w:unhideWhenUsed/>
    <w:pPr>
      <w:pBdr/>
      <w:spacing/>
      <w:ind/>
    </w:pPr>
    <w:rPr>
      <w:b/>
      <w:bCs/>
    </w:rPr>
  </w:style>
  <w:style w:type="character" w:styleId="1055" w:customStyle="1">
    <w:name w:val="Comment Subject Char"/>
    <w:basedOn w:val="1053"/>
    <w:link w:val="1054"/>
    <w:uiPriority w:val="99"/>
    <w:semiHidden/>
    <w:pPr>
      <w:pBdr/>
      <w:spacing/>
      <w:ind/>
    </w:pPr>
    <w:rPr>
      <w:rFonts w:ascii="Times New Roman" w:hAnsi="Times New Roman" w:eastAsia="Times New Roman" w:cs="Times New Roman"/>
      <w:b/>
      <w:bCs/>
      <w:sz w:val="20"/>
      <w:szCs w:val="20"/>
    </w:rPr>
  </w:style>
  <w:style w:type="paragraph" w:styleId="1056" w:customStyle="1">
    <w:name w:val="font5"/>
    <w:basedOn w:val="1023"/>
    <w:pPr>
      <w:pBdr/>
      <w:spacing w:after="100" w:afterAutospacing="1" w:before="100" w:beforeAutospacing="1"/>
      <w:ind/>
    </w:pPr>
    <w:rPr>
      <w:rFonts w:ascii="Tahoma" w:hAnsi="Tahoma" w:cs="Tahoma"/>
      <w:color w:val="000000"/>
      <w:sz w:val="18"/>
      <w:szCs w:val="18"/>
    </w:rPr>
  </w:style>
  <w:style w:type="paragraph" w:styleId="1057" w:customStyle="1">
    <w:name w:val="font6"/>
    <w:basedOn w:val="1023"/>
    <w:pPr>
      <w:pBdr/>
      <w:spacing w:after="100" w:afterAutospacing="1" w:before="100" w:beforeAutospacing="1"/>
      <w:ind/>
    </w:pPr>
    <w:rPr>
      <w:rFonts w:ascii="Tahoma" w:hAnsi="Tahoma" w:cs="Tahoma"/>
      <w:b/>
      <w:bCs/>
      <w:color w:val="000000"/>
      <w:sz w:val="18"/>
      <w:szCs w:val="18"/>
    </w:rPr>
  </w:style>
  <w:style w:type="paragraph" w:styleId="1058" w:customStyle="1">
    <w:name w:val="xl233"/>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34"/>
    <w:basedOn w:val="1023"/>
    <w:pPr>
      <w:pBdr/>
      <w:spacing w:after="100" w:afterAutospacing="1" w:before="100" w:beforeAutospacing="1"/>
      <w:ind/>
      <w:jc w:val="center"/>
    </w:pPr>
  </w:style>
  <w:style w:type="paragraph" w:styleId="1060" w:customStyle="1">
    <w:name w:val="xl235"/>
    <w:basedOn w:val="1023"/>
    <w:pPr>
      <w:pBdr/>
      <w:spacing w:after="100" w:afterAutospacing="1" w:before="100" w:beforeAutospacing="1"/>
      <w:ind/>
      <w:jc w:val="center"/>
    </w:pPr>
    <w:rPr>
      <w:b/>
      <w:bCs/>
    </w:rPr>
  </w:style>
  <w:style w:type="paragraph" w:styleId="1061" w:customStyle="1">
    <w:name w:val="xl236"/>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3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38"/>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4" w:customStyle="1">
    <w:name w:val="xl23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5" w:customStyle="1">
    <w:name w:val="xl240"/>
    <w:basedOn w:val="1023"/>
    <w:pPr>
      <w:pBdr/>
      <w:spacing w:after="100" w:afterAutospacing="1" w:before="100" w:beforeAutospacing="1"/>
      <w:ind/>
    </w:pPr>
  </w:style>
  <w:style w:type="paragraph" w:styleId="1066" w:customStyle="1">
    <w:name w:val="xl241"/>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42"/>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43"/>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44"/>
    <w:basedOn w:val="1023"/>
    <w:pPr>
      <w:pBdr/>
      <w:spacing w:after="100" w:afterAutospacing="1" w:before="100" w:beforeAutospacing="1"/>
      <w:ind/>
    </w:pPr>
    <w:rPr>
      <w:b/>
      <w:bCs/>
    </w:rPr>
  </w:style>
  <w:style w:type="paragraph" w:styleId="1070" w:customStyle="1">
    <w:name w:val="xl245"/>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46"/>
    <w:basedOn w:val="102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47"/>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3" w:customStyle="1">
    <w:name w:val="xl248"/>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4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50"/>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51"/>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5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3"/>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4"/>
    <w:basedOn w:val="102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55"/>
    <w:basedOn w:val="102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1" w:customStyle="1">
    <w:name w:val="xl256"/>
    <w:basedOn w:val="102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5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58"/>
    <w:basedOn w:val="102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4" w:customStyle="1">
    <w:name w:val="xl25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5" w:customStyle="1">
    <w:name w:val="xl260"/>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61"/>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62"/>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3"/>
    <w:basedOn w:val="1023"/>
    <w:pPr>
      <w:pBdr/>
      <w:shd w:val="clear" w:color="000000" w:fill="ffffff"/>
      <w:spacing w:after="100" w:afterAutospacing="1" w:before="100" w:beforeAutospacing="1"/>
      <w:ind/>
    </w:pPr>
  </w:style>
  <w:style w:type="paragraph" w:styleId="1089" w:customStyle="1">
    <w:name w:val="xl264"/>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65"/>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6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2" w:customStyle="1">
    <w:name w:val="xl26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68"/>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4" w:customStyle="1">
    <w:name w:val="xl269"/>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5" w:customStyle="1">
    <w:name w:val="xl270"/>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1"/>
    <w:basedOn w:val="102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7" w:customStyle="1">
    <w:name w:val="xl27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73"/>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9" w:customStyle="1">
    <w:name w:val="xl274"/>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75"/>
    <w:basedOn w:val="1023"/>
    <w:pPr>
      <w:pBdr/>
      <w:spacing w:after="100" w:afterAutospacing="1" w:before="100" w:beforeAutospacing="1"/>
      <w:ind/>
    </w:pPr>
  </w:style>
  <w:style w:type="paragraph" w:styleId="1101" w:customStyle="1">
    <w:name w:val="xl27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2" w:customStyle="1">
    <w:name w:val="xl277"/>
    <w:basedOn w:val="102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3" w:customStyle="1">
    <w:name w:val="xl278"/>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7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5" w:customStyle="1">
    <w:name w:val="xl280"/>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6" w:customStyle="1">
    <w:name w:val="xl281"/>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7" w:customStyle="1">
    <w:name w:val="xl28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8" w:customStyle="1">
    <w:name w:val="xl283"/>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4"/>
    <w:basedOn w:val="1023"/>
    <w:pPr>
      <w:pBdr>
        <w:left w:val="single" w:color="000000" w:sz="4" w:space="0"/>
        <w:bottom w:val="single" w:color="000000" w:sz="4" w:space="0"/>
        <w:right w:val="single" w:color="000000" w:sz="4" w:space="0"/>
      </w:pBdr>
      <w:spacing w:after="100" w:afterAutospacing="1" w:before="100" w:beforeAutospacing="1"/>
      <w:ind/>
    </w:pPr>
  </w:style>
  <w:style w:type="paragraph" w:styleId="1110" w:customStyle="1">
    <w:name w:val="xl285"/>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1" w:customStyle="1">
    <w:name w:val="xl28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customStyle="1">
    <w:name w:val="xl287"/>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88"/>
    <w:basedOn w:val="1023"/>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89"/>
    <w:basedOn w:val="1023"/>
    <w:pPr>
      <w:pBdr>
        <w:left w:val="single" w:color="000000" w:sz="4" w:space="0"/>
        <w:right w:val="single" w:color="000000" w:sz="4" w:space="0"/>
      </w:pBdr>
      <w:spacing w:after="100" w:afterAutospacing="1" w:before="100" w:beforeAutospacing="1"/>
      <w:ind/>
    </w:pPr>
    <w:rPr>
      <w:b/>
      <w:bCs/>
    </w:rPr>
  </w:style>
  <w:style w:type="paragraph" w:styleId="1115" w:customStyle="1">
    <w:name w:val="xl290"/>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6" w:customStyle="1">
    <w:name w:val="xl291"/>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7" w:customStyle="1">
    <w:name w:val="xl292"/>
    <w:basedOn w:val="1023"/>
    <w:pPr>
      <w:pBdr>
        <w:top w:val="single" w:color="000000" w:sz="4" w:space="0"/>
        <w:left w:val="single" w:color="000000" w:sz="4" w:space="0"/>
        <w:right w:val="single" w:color="000000" w:sz="4" w:space="0"/>
      </w:pBdr>
      <w:spacing w:after="100" w:afterAutospacing="1" w:before="100" w:beforeAutospacing="1"/>
      <w:ind/>
    </w:pPr>
  </w:style>
  <w:style w:type="paragraph" w:styleId="1118" w:customStyle="1">
    <w:name w:val="xl293"/>
    <w:basedOn w:val="1023"/>
    <w:pPr>
      <w:pBdr>
        <w:left w:val="single" w:color="000000" w:sz="4" w:space="0"/>
        <w:bottom w:val="single" w:color="000000" w:sz="4" w:space="0"/>
        <w:right w:val="single" w:color="000000" w:sz="4" w:space="0"/>
      </w:pBdr>
      <w:spacing w:after="100" w:afterAutospacing="1" w:before="100" w:beforeAutospacing="1"/>
      <w:ind/>
    </w:pPr>
  </w:style>
  <w:style w:type="paragraph" w:styleId="1119" w:customStyle="1">
    <w:name w:val="xl294"/>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0">
    <w:name w:val="Title"/>
    <w:basedOn w:val="1023"/>
    <w:link w:val="1121"/>
    <w:qFormat/>
    <w:pPr>
      <w:pBdr/>
      <w:spacing/>
      <w:ind/>
      <w:jc w:val="center"/>
    </w:pPr>
    <w:rPr>
      <w:b/>
      <w:bCs/>
      <w:sz w:val="32"/>
      <w:szCs w:val="26"/>
    </w:rPr>
  </w:style>
  <w:style w:type="character" w:styleId="1121" w:customStyle="1">
    <w:name w:val="Title Char"/>
    <w:basedOn w:val="1028"/>
    <w:link w:val="1120"/>
    <w:pPr>
      <w:pBdr/>
      <w:spacing/>
      <w:ind/>
    </w:pPr>
    <w:rPr>
      <w:rFonts w:ascii="Times New Roman" w:hAnsi="Times New Roman" w:eastAsia="Times New Roman" w:cs="Times New Roman"/>
      <w:b/>
      <w:bCs/>
      <w:sz w:val="32"/>
      <w:szCs w:val="26"/>
    </w:rPr>
  </w:style>
  <w:style w:type="character" w:styleId="1122" w:customStyle="1">
    <w:name w:val="Unresolved Mention1"/>
    <w:basedOn w:val="1028"/>
    <w:uiPriority w:val="99"/>
    <w:semiHidden/>
    <w:unhideWhenUsed/>
    <w:pPr>
      <w:pBdr/>
      <w:spacing/>
      <w:ind/>
    </w:pPr>
    <w:rPr>
      <w:color w:val="605e5c"/>
      <w:shd w:val="clear" w:color="auto" w:fill="e1dfdd"/>
    </w:rPr>
  </w:style>
  <w:style w:type="character" w:styleId="1123" w:customStyle="1">
    <w:name w:val="Body text (3)_"/>
    <w:link w:val="1124"/>
    <w:pPr>
      <w:pBdr/>
      <w:spacing/>
      <w:ind/>
    </w:pPr>
    <w:rPr>
      <w:rFonts w:ascii="Times New Roman" w:hAnsi="Times New Roman" w:cs="Times New Roman"/>
      <w:i/>
      <w:iCs/>
      <w:spacing w:val="4"/>
      <w:shd w:val="clear" w:color="auto" w:fill="ffffff"/>
    </w:rPr>
  </w:style>
  <w:style w:type="paragraph" w:styleId="1124" w:customStyle="1">
    <w:name w:val="Body text (3)1"/>
    <w:basedOn w:val="1023"/>
    <w:link w:val="112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5" w:customStyle="1">
    <w:name w:val="t-j"/>
    <w:basedOn w:val="1023"/>
    <w:pPr>
      <w:pBdr/>
      <w:spacing w:after="100" w:afterAutospacing="1" w:before="100" w:beforeAutospacing="1"/>
      <w:ind/>
    </w:pPr>
  </w:style>
  <w:style w:type="character" w:styleId="1126" w:customStyle="1">
    <w:name w:val="Unresolved Mention2"/>
    <w:basedOn w:val="1028"/>
    <w:uiPriority w:val="99"/>
    <w:semiHidden/>
    <w:unhideWhenUsed/>
    <w:pPr>
      <w:pBdr/>
      <w:spacing/>
      <w:ind/>
    </w:pPr>
    <w:rPr>
      <w:color w:val="605e5c"/>
      <w:shd w:val="clear" w:color="auto" w:fill="e1dfdd"/>
    </w:rPr>
  </w:style>
  <w:style w:type="character" w:styleId="1127">
    <w:name w:val="FollowedHyperlink"/>
    <w:basedOn w:val="1028"/>
    <w:uiPriority w:val="99"/>
    <w:semiHidden/>
    <w:unhideWhenUsed/>
    <w:pPr>
      <w:pBdr/>
      <w:spacing/>
      <w:ind/>
    </w:pPr>
    <w:rPr>
      <w:color w:val="800080" w:themeColor="followedHyperlink"/>
      <w:u w:val="single"/>
    </w:rPr>
  </w:style>
  <w:style w:type="character" w:styleId="1128" w:customStyle="1">
    <w:name w:val="text"/>
    <w:basedOn w:val="1028"/>
    <w:pPr>
      <w:pBdr/>
      <w:spacing/>
      <w:ind/>
    </w:pPr>
  </w:style>
  <w:style w:type="character" w:styleId="1129" w:customStyle="1">
    <w:name w:val="card-send-time__sendtime"/>
    <w:basedOn w:val="1028"/>
    <w:pPr>
      <w:pBdr/>
      <w:spacing/>
      <w:ind/>
    </w:pPr>
  </w:style>
  <w:style w:type="character" w:styleId="1130" w:customStyle="1">
    <w:name w:val="Đề cập Chưa giải quyết1"/>
    <w:basedOn w:val="1028"/>
    <w:uiPriority w:val="99"/>
    <w:semiHidden/>
    <w:unhideWhenUsed/>
    <w:pPr>
      <w:pBdr/>
      <w:spacing/>
      <w:ind/>
    </w:pPr>
    <w:rPr>
      <w:color w:val="605e5c"/>
      <w:shd w:val="clear" w:color="auto" w:fill="e1dfdd"/>
    </w:rPr>
  </w:style>
  <w:style w:type="paragraph" w:styleId="1131" w:customStyle="1">
    <w:name w:val="nqtitle"/>
    <w:basedOn w:val="1023"/>
    <w:pPr>
      <w:pBdr/>
      <w:spacing w:after="100" w:afterAutospacing="1" w:before="100" w:beforeAutospacing="1"/>
      <w:ind/>
    </w:pPr>
    <w:rPr>
      <w:lang w:val="vi-VN" w:eastAsia="vi-VN"/>
    </w:rPr>
  </w:style>
  <w:style w:type="character" w:styleId="1132" w:customStyle="1">
    <w:name w:val="List Paragraph Char"/>
    <w:link w:val="1045"/>
    <w:uiPriority w:val="34"/>
    <w:qFormat/>
    <w:pPr>
      <w:pBdr/>
      <w:spacing/>
      <w:ind/>
    </w:pPr>
    <w:rPr>
      <w:rFonts w:ascii="Times New Roman" w:hAnsi="Times New Roman" w:eastAsia="Times New Roman" w:cs="Times New Roman"/>
      <w:sz w:val="24"/>
      <w:szCs w:val="24"/>
    </w:rPr>
  </w:style>
  <w:style w:type="character" w:styleId="1133" w:customStyle="1">
    <w:name w:val="Đề cập Chưa giải quyết2"/>
    <w:basedOn w:val="1028"/>
    <w:uiPriority w:val="99"/>
    <w:semiHidden/>
    <w:unhideWhenUsed/>
    <w:pPr>
      <w:pBdr/>
      <w:spacing/>
      <w:ind/>
    </w:pPr>
    <w:rPr>
      <w:color w:val="605e5c"/>
      <w:shd w:val="clear" w:color="auto" w:fill="e1dfdd"/>
    </w:rPr>
  </w:style>
  <w:style w:type="character" w:styleId="1134" w:customStyle="1">
    <w:name w:val="Unresolved Mention3"/>
    <w:basedOn w:val="1028"/>
    <w:uiPriority w:val="99"/>
    <w:semiHidden/>
    <w:unhideWhenUsed/>
    <w:pPr>
      <w:pBdr/>
      <w:spacing/>
      <w:ind/>
    </w:pPr>
    <w:rPr>
      <w:color w:val="605e5c"/>
      <w:shd w:val="clear" w:color="auto" w:fill="e1dfdd"/>
    </w:rPr>
  </w:style>
  <w:style w:type="character" w:styleId="1135" w:customStyle="1">
    <w:name w:val="copy"/>
    <w:basedOn w:val="1028"/>
    <w:pPr>
      <w:pBdr/>
      <w:spacing/>
      <w:ind/>
    </w:pPr>
  </w:style>
  <w:style w:type="paragraph" w:styleId="1136" w:customStyle="1">
    <w:name w:val="align-justify"/>
    <w:basedOn w:val="1023"/>
    <w:pPr>
      <w:pBdr/>
      <w:spacing w:after="100" w:afterAutospacing="1" w:before="100" w:beforeAutospacing="1"/>
      <w:ind/>
    </w:pPr>
  </w:style>
  <w:style w:type="character" w:styleId="1137" w:customStyle="1">
    <w:name w:val="btn"/>
    <w:basedOn w:val="1028"/>
    <w:pPr>
      <w:pBdr/>
      <w:spacing/>
      <w:ind/>
    </w:pPr>
  </w:style>
  <w:style w:type="character" w:styleId="1138" w:customStyle="1">
    <w:name w:val="hide_mobile"/>
    <w:basedOn w:val="1028"/>
    <w:pPr>
      <w:pBdr/>
      <w:spacing/>
      <w:ind/>
    </w:pPr>
  </w:style>
  <w:style w:type="character" w:styleId="1139">
    <w:name w:val="Emphasis"/>
    <w:basedOn w:val="1028"/>
    <w:uiPriority w:val="20"/>
    <w:qFormat/>
    <w:pPr>
      <w:pBdr/>
      <w:spacing/>
      <w:ind/>
    </w:pPr>
    <w:rPr>
      <w:i/>
      <w:iCs/>
    </w:rPr>
  </w:style>
  <w:style w:type="character" w:styleId="1140" w:customStyle="1">
    <w:name w:val="t1"/>
    <w:basedOn w:val="1028"/>
    <w:pPr>
      <w:pBdr/>
      <w:spacing/>
      <w:ind/>
    </w:pPr>
  </w:style>
  <w:style w:type="character" w:styleId="1141" w:customStyle="1">
    <w:name w:val="Unresolved Mention4"/>
    <w:basedOn w:val="1028"/>
    <w:uiPriority w:val="99"/>
    <w:semiHidden/>
    <w:unhideWhenUsed/>
    <w:pPr>
      <w:pBdr/>
      <w:spacing/>
      <w:ind/>
    </w:pPr>
    <w:rPr>
      <w:color w:val="605e5c"/>
      <w:shd w:val="clear" w:color="auto" w:fill="e1dfdd"/>
    </w:rPr>
  </w:style>
  <w:style w:type="character" w:styleId="1142" w:customStyle="1">
    <w:name w:val="Unresolved Mention5"/>
    <w:basedOn w:val="102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customXml" Target="../customXml/item1.xml" /><Relationship Id="rId13" Type="http://schemas.openxmlformats.org/officeDocument/2006/relationships/image" Target="media/image2.png"/><Relationship Id="rId14" Type="http://schemas.openxmlformats.org/officeDocument/2006/relationships/hyperlink" Target="mailto:ilotus.contact@gmail.com" TargetMode="External"/><Relationship Id="rId15" Type="http://schemas.openxmlformats.org/officeDocument/2006/relationships/image" Target="media/image3.png"/><Relationship Id="rId16" Type="http://schemas.openxmlformats.org/officeDocument/2006/relationships/hyperlink" Target="mailto:ilotus.contact@gmail.com" TargetMode="External"/><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image" Target="media/image22.png"/><Relationship Id="rId36" Type="http://schemas.openxmlformats.org/officeDocument/2006/relationships/image" Target="media/image2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Lê Đình Duy</cp:lastModifiedBy>
  <cp:revision>820</cp:revision>
  <dcterms:created xsi:type="dcterms:W3CDTF">2025-05-28T23:19:00Z</dcterms:created>
  <dcterms:modified xsi:type="dcterms:W3CDTF">2026-05-20T03:12:26Z</dcterms:modified>
</cp:coreProperties>
</file>