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016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016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275/2025/01DN/VFI-CT.135</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Phan Hải Sơn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Giá trị quyền sử dụng đất tại Thửa đất số: 89, tờ bản đồ số: 141, địa chỉ: Lô 10 - LK2, Khu C - KDC Nam cầu Cẩm Lệ, phường Hòa Xuân, thành phố Đà</w:t>
                            </w:r>
                            <w:r>
                              <w:rPr>
                                <w:color w:val="000000"/>
                              </w:rPr>
                              <w:t xml:space="preserve"> Nẵng theo Giấy chứng nhận quyền sử dụng đất, quyền sở hữu tài sản gắn liền với đất số:  AA 03605483, số vào sổ cấp GCN: VP 9381 do Văn phòng Đăng ký đất đai thành phố Đà Nẵng cấp ngày 11/9/2025. Chủ sử dụng tài sản là Ông Phan Hải Sơn và bà Lê Hồng Nhung.</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7.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275/2025/01DN/VFI-CT.135</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Phan Hải Sơn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Giá trị quyền sử dụng đất tại Thửa đất số: 89, tờ bản đồ số: 141, địa chỉ: Lô 10 - LK2, Khu C - KDC Nam cầu Cẩm Lệ, phường Hòa Xuân, thành phố Đà</w:t>
                      </w:r>
                      <w:r>
                        <w:rPr>
                          <w:color w:val="000000"/>
                        </w:rPr>
                        <w:t xml:space="preserve"> Nẵng theo Giấy chứng nhận quyền sử dụng đất, quyền sở hữu tài sản gắn liền với đất số:  AA 03605483, số vào sổ cấp GCN: VP 9381 do Văn phòng Đăng ký đất đai thành phố Đà Nẵng cấp ngày 11/9/2025. Chủ sử dụng tài sản là Ông Phan Hải Sơn và bà Lê Hồng Nhung.</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4-23</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24-27</w:t>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28-33</w:t>
            </w:r>
            <w:r>
              <w:rPr>
                <w:b/>
                <w:bCs/>
              </w:rPr>
            </w:r>
            <w:r>
              <w:rPr>
                <w:b/>
                <w:bCs/>
              </w:rPr>
            </w:r>
          </w:p>
        </w:tc>
      </w:tr>
    </w:tbl>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pPr>
              <w:pStyle w:val="1023"/>
              <w:pBdr/>
              <w:spacing w:after="60" w:before="200"/>
              <w:ind/>
              <w:rPr>
                <w:rStyle w:val="1022"/>
                <w:rFonts w:ascii="Times New Roman" w:hAnsi="Times New Roman"/>
                <w:color w:val="auto"/>
                <w:lang w:val="pt-BR"/>
              </w:rPr>
            </w:pPr>
            <w:r>
              <w:rPr>
                <w:rFonts w:ascii="Times New Roman" w:hAnsi="Times New Roman"/>
                <w:color w:val="auto"/>
                <w:lang w:val="pt-BR"/>
              </w:rPr>
            </w:r>
            <w:r>
              <w:rPr>
                <w:rStyle w:val="1022"/>
                <w:rFonts w:ascii="Times New Roman" w:hAnsi="Times New Roman"/>
                <w:color w:val="auto"/>
                <w:lang w:val="pt-BR"/>
              </w:rPr>
            </w:r>
            <w:r>
              <w:rPr>
                <w:rStyle w:val="1022"/>
                <w:rFonts w:ascii="Times New Roman" w:hAnsi="Times New Roman"/>
                <w:color w:val="auto"/>
                <w:lang w:val="pt-BR"/>
              </w:rPr>
            </w:r>
          </w:p>
          <w:p>
            <w:pPr>
              <w:pStyle w:val="1023"/>
              <w:pBdr/>
              <w:spacing w:after="60" w:before="200"/>
              <w:ind/>
              <w:rPr>
                <w:sz w:val="24"/>
                <w:szCs w:val="24"/>
              </w:rPr>
            </w:pPr>
            <w:r>
              <w:rPr>
                <w:rStyle w:val="1022"/>
                <w:rFonts w:ascii="Times New Roman" w:hAnsi="Times New Roman"/>
                <w:color w:val="auto"/>
                <w:lang w:val="pt-BR"/>
              </w:rPr>
              <w:t xml:space="preserve">Số:</w:t>
            </w:r>
            <w:r>
              <w:rPr>
                <w:rStyle w:val="1022"/>
                <w:rFonts w:ascii="Times New Roman" w:hAnsi="Times New Roman"/>
                <w:color w:val="auto"/>
                <w:lang w:val="pt-BR"/>
              </w:rPr>
              <w:t xml:space="preserve"> </w:t>
            </w:r>
            <w:r>
              <w:rPr>
                <w:rStyle w:val="1022"/>
                <w:rFonts w:ascii="Times New Roman" w:hAnsi="Times New Roman"/>
                <w:color w:val="000000" w:themeColor="text1"/>
                <w:lang w:val="pt-BR"/>
              </w:rPr>
              <w:t xml:space="preserve">275/2025/01DN/VFI-CT.135</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pPr>
              <w:pStyle w:val="1023"/>
              <w:pBdr/>
              <w:spacing w:after="60" w:before="200"/>
              <w:ind w:right="-56"/>
              <w:rPr>
                <w:rStyle w:val="1022"/>
                <w:rFonts w:ascii="Times New Roman" w:hAnsi="Times New Roman"/>
                <w:i/>
                <w:color w:val="auto"/>
              </w:rPr>
            </w:pPr>
            <w:r>
              <w:rPr>
                <w:rFonts w:ascii="Times New Roman" w:hAnsi="Times New Roman"/>
                <w:i/>
                <w:color w:val="auto"/>
              </w:rPr>
            </w:r>
            <w:r>
              <w:rPr>
                <w:rStyle w:val="1022"/>
                <w:rFonts w:ascii="Times New Roman" w:hAnsi="Times New Roman"/>
                <w:i/>
                <w:color w:val="auto"/>
              </w:rPr>
            </w:r>
            <w:r>
              <w:rPr>
                <w:rStyle w:val="1022"/>
                <w:rFonts w:ascii="Times New Roman" w:hAnsi="Times New Roman"/>
                <w:i/>
                <w:color w:val="auto"/>
              </w:rPr>
            </w:r>
          </w:p>
          <w:p>
            <w:pPr>
              <w:pStyle w:val="1023"/>
              <w:pBdr/>
              <w:spacing w:after="60" w:before="200"/>
              <w:ind w:right="-56"/>
              <w:jc w:val="right"/>
              <w:rPr>
                <w:sz w:val="24"/>
                <w:szCs w:val="24"/>
                <w:lang w:val="vi-VN"/>
              </w:rPr>
            </w:pPr>
            <w:r>
              <w:rPr>
                <w:rStyle w:val="1022"/>
                <w:rFonts w:ascii="Times New Roman" w:hAnsi="Times New Roman"/>
                <w:i/>
                <w:color w:val="auto"/>
              </w:rPr>
              <w:t xml:space="preserve">TP. </w:t>
            </w:r>
            <w:r>
              <w:rPr>
                <w:rStyle w:val="1022"/>
                <w:rFonts w:ascii="Times New Roman" w:hAnsi="Times New Roman"/>
                <w:i/>
                <w:color w:val="auto"/>
              </w:rPr>
              <w:t xml:space="preserve">Hà 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04 tháng 12 năm 2025</w:t>
            </w:r>
            <w:r>
              <w:rPr>
                <w:rStyle w:val="1022"/>
                <w:rFonts w:ascii="Times New Roman" w:hAnsi="Times New Roman"/>
                <w:i/>
                <w:color w:val="auto"/>
                <w:lang w:val="vi-VN"/>
              </w:rPr>
              <w:t xml:space="preserve">   </w:t>
            </w:r>
            <w:r>
              <w:rPr>
                <w:rStyle w:val="1022"/>
                <w:rFonts w:ascii="Times New Roman" w:hAnsi="Times New Roman"/>
                <w:i/>
                <w:color w:val="auto"/>
                <w:lang w:val="vi-VN"/>
              </w:rPr>
              <w:t xml:space="preserve">  </w:t>
            </w:r>
            <w:r>
              <w:rPr>
                <w:sz w:val="24"/>
                <w:szCs w:val="24"/>
                <w:lang w:val="vi-VN"/>
              </w:rPr>
            </w:r>
            <w:r>
              <w:rPr>
                <w:sz w:val="24"/>
                <w:szCs w:val="24"/>
                <w:lang w:val="vi-VN"/>
              </w:rPr>
            </w:r>
          </w:p>
        </w:tc>
      </w:tr>
    </w:tbl>
    <w:p>
      <w:pPr>
        <w:pStyle w:val="1023"/>
        <w:pBdr/>
        <w:spacing w:after="120" w:before="200" w:line="288" w:lineRule="auto"/>
        <w:ind/>
        <w:jc w:val="center"/>
        <w:rPr>
          <w:rStyle w:val="1022"/>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2"/>
          <w:rFonts w:ascii="Times New Roman" w:hAnsi="Times New Roman"/>
          <w:b/>
          <w:bCs/>
          <w:color w:val="auto"/>
          <w:sz w:val="30"/>
          <w:szCs w:val="30"/>
          <w:lang w:val="vi-VN"/>
        </w:rPr>
        <w:t xml:space="preserve">CHỨNG THƯ THẨM ĐỊNH GIÁ</w:t>
      </w:r>
      <w:r>
        <w:rPr>
          <w:rStyle w:val="1022"/>
          <w:rFonts w:ascii="Times New Roman" w:hAnsi="Times New Roman"/>
          <w:b/>
          <w:bCs/>
          <w:color w:val="auto"/>
          <w:sz w:val="30"/>
          <w:szCs w:val="30"/>
          <w:lang w:val="vi-VN"/>
        </w:rPr>
      </w:r>
      <w:r>
        <w:rPr>
          <w:rStyle w:val="1022"/>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Phan Hải Sơn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275/2025/1719/VFI-HĐTĐ.01ĐN.A</w:t>
      </w:r>
      <w:r>
        <w:rPr>
          <w:spacing w:val="-4"/>
          <w:lang w:val="vi-VN"/>
        </w:rPr>
        <w:t xml:space="preserve"> ký ngày </w:t>
      </w:r>
      <w:r>
        <w:rPr>
          <w:color w:val="000000" w:themeColor="text1"/>
          <w:spacing w:val="-4"/>
        </w:rPr>
        <w:t xml:space="preserve">4 tháng 12 năm 2025</w:t>
      </w:r>
      <w:r>
        <w:rPr>
          <w:spacing w:val="-4"/>
          <w:lang w:val="vi-VN"/>
        </w:rPr>
        <w:t xml:space="preserve"> </w:t>
      </w:r>
      <w:r>
        <w:rPr>
          <w:spacing w:val="-4"/>
          <w:lang w:val="vi-VN"/>
        </w:rPr>
        <w:t xml:space="preserve">giữa </w:t>
      </w:r>
      <w:r>
        <w:rPr>
          <w:color w:val="000000" w:themeColor="text1"/>
          <w:spacing w:val="-4"/>
        </w:rPr>
        <w:t xml:space="preserve">Ông Phan Hải Sơn</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275/2025/01DN/VFI-BC.135</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4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Phan Hải Sơn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022081002788</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BT5-23 Khu đô thị mới Văn Phú, phường Phú La, quận Hà Đông,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Giá trị quyền sử dụng đất tại Thửa đất số: 89, tờ bản đồ số: 141, địa chỉ: Lô 10 - LK2, Khu C - KDC Nam cầu Cẩm Lệ, phường Hòa Xuân, thành phố Đà</w:t>
      </w:r>
      <w:r>
        <w:rPr>
          <w:color w:val="000000" w:themeColor="text1"/>
        </w:rPr>
        <w:t xml:space="preserve"> Nẵng theo Giấy chứng nhận quyền sử dụng đất, quyền sở hữu tài sản gắn liền với đất số:  AA 03605483, số vào sổ cấp GCN: VP 9381 do Văn phòng Đăng ký đất đai thành phố Đà Nẵng cấp ngày 11/9/2025. Chủ sử dụng tào sản là Ông Phan Hải Sơn và bà Lê Hồng Nhung.</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Giá trị quyền sử dụng đất tại Thửa đất số: 89, tờ bản đồ số: 141, địa chỉ: Lô 10 - LK2, Khu C - KDC Nam cầu Cẩm Lệ, phường Hòa Xuân, thành phố Đà</w:t>
            </w:r>
            <w:r>
              <w:rPr>
                <w:color w:val="000000"/>
              </w:rPr>
              <w:t xml:space="preserve"> Nẵng theo Giấy chứng nhận quyền sử dụng đất, quyền sở hữu tài sản gắn liền với đất số:  AA 03605483, số vào sổ cấp GCN: VP 9381 do Văn phòng Đăng ký đất đai thành phố Đà Nẵng cấp ngày 11/9/2025. Chủ sử dụng tào sản là Ông Phan Hải Sơn và bà Lê Hồng Nhung.</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101.5</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48.000.000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4.872.000.000</w:t>
            </w: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2</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Nhà ở độc lập</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214.5</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6.590.000(97.5%)</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1.378.216.125</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6.250.000.000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6.250.200.000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hai trăm năm mươi triệu hai trăm nghìn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tiết như Báo cáo kèm theo.</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pPr>
              <w:pStyle w:val="1023"/>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pPr>
              <w:pStyle w:val="1023"/>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275/2025/01DN/VFI-BC.135</w:t>
            </w:r>
            <w:r>
              <w:rPr>
                <w:sz w:val="24"/>
                <w:szCs w:val="24"/>
              </w:rPr>
            </w:r>
            <w:r>
              <w:rPr>
                <w:sz w:val="24"/>
                <w:szCs w:val="24"/>
              </w:rPr>
            </w:r>
          </w:p>
        </w:tc>
        <w:tc>
          <w:tcPr>
            <w:tcBorders/>
            <w:tcW w:w="4781" w:type="dxa"/>
            <w:textDirection w:val="lrTb"/>
            <w:noWrap w:val="false"/>
          </w:tcPr>
          <w:p>
            <w:pPr>
              <w:pStyle w:val="1023"/>
              <w:pBdr/>
              <w:tabs>
                <w:tab w:val="left" w:leader="none" w:pos="5103"/>
              </w:tabs>
              <w:spacing w:before="100" w:line="360" w:lineRule="auto"/>
              <w:ind/>
              <w:jc w:val="right"/>
              <w:rPr>
                <w:rStyle w:val="1022"/>
                <w:rFonts w:ascii="Times New Roman" w:hAnsi="Times New Roman"/>
                <w:i/>
                <w:color w:val="auto"/>
              </w:rPr>
            </w:pPr>
            <w:r>
              <w:rPr>
                <w:rFonts w:ascii="Times New Roman" w:hAnsi="Times New Roman"/>
                <w:i/>
                <w:color w:val="auto"/>
              </w:rPr>
            </w:r>
            <w:r>
              <w:rPr>
                <w:rStyle w:val="1022"/>
                <w:rFonts w:ascii="Times New Roman" w:hAnsi="Times New Roman"/>
                <w:i/>
                <w:color w:val="auto"/>
              </w:rPr>
            </w:r>
            <w:r>
              <w:rPr>
                <w:rStyle w:val="1022"/>
                <w:rFonts w:ascii="Times New Roman" w:hAnsi="Times New Roman"/>
                <w:i/>
                <w:color w:val="auto"/>
              </w:rPr>
            </w:r>
          </w:p>
          <w:p>
            <w:pPr>
              <w:pStyle w:val="1023"/>
              <w:pBdr/>
              <w:tabs>
                <w:tab w:val="left" w:leader="none" w:pos="5103"/>
              </w:tabs>
              <w:spacing w:before="100" w:line="360" w:lineRule="auto"/>
              <w:ind/>
              <w:jc w:val="right"/>
              <w:rPr>
                <w:i/>
                <w:iCs/>
                <w:sz w:val="24"/>
                <w:szCs w:val="24"/>
              </w:rPr>
            </w:pPr>
            <w:r>
              <w:rPr>
                <w:rStyle w:val="1022"/>
                <w:rFonts w:ascii="Times New Roman" w:hAnsi="Times New Roman"/>
                <w:i/>
                <w:color w:val="auto"/>
              </w:rPr>
              <w:t xml:space="preserve">TP</w:t>
            </w:r>
            <w:r>
              <w:rPr>
                <w:rStyle w:val="1022"/>
                <w:rFonts w:ascii="Times New Roman" w:hAnsi="Times New Roman"/>
                <w:color w:val="auto"/>
              </w:rPr>
              <w:t xml:space="preserve">. </w:t>
            </w:r>
            <w:r>
              <w:rPr>
                <w:rStyle w:val="1022"/>
                <w:rFonts w:ascii="Times New Roman" w:hAnsi="Times New Roman"/>
                <w:i/>
                <w:color w:val="auto"/>
              </w:rPr>
              <w:t xml:space="preserve">Hà Nội</w:t>
            </w:r>
            <w:r>
              <w:rPr>
                <w:rStyle w:val="1022"/>
                <w:rFonts w:ascii="Times New Roman" w:hAnsi="Times New Roman"/>
                <w:i/>
                <w:color w:val="auto"/>
                <w:lang w:val="vi-VN"/>
              </w:rPr>
              <w:t xml:space="preserve">, </w:t>
            </w:r>
            <w:r>
              <w:rPr>
                <w:i/>
                <w:iCs/>
                <w:color w:val="000000" w:themeColor="text1"/>
                <w:sz w:val="24"/>
                <w:szCs w:val="24"/>
                <w:lang w:val="pt-BR"/>
              </w:rPr>
              <w:t xml:space="preserve">ngày 4 tháng 12 năm 2025</w:t>
            </w:r>
            <w:r>
              <w:rPr>
                <w:rStyle w:val="1022"/>
                <w:rFonts w:ascii="Times New Roman" w:hAnsi="Times New Roman"/>
                <w:i/>
                <w:color w:val="auto"/>
                <w:lang w:val="vi-VN"/>
              </w:rPr>
              <w:t xml:space="preserve">   </w:t>
            </w:r>
            <w:r>
              <w:rPr>
                <w:rStyle w:val="1022"/>
                <w:rFonts w:ascii="Times New Roman" w:hAnsi="Times New Roman"/>
                <w:i/>
                <w:color w:val="auto"/>
                <w:lang w:val="vi-VN"/>
              </w:rPr>
              <w:t xml:space="preserve">  </w:t>
            </w:r>
            <w:r>
              <w:rPr>
                <w:i/>
                <w:iCs/>
                <w:sz w:val="24"/>
                <w:szCs w:val="24"/>
              </w:rPr>
            </w:r>
            <w:r>
              <w:rPr>
                <w:i/>
                <w:iCs/>
                <w:sz w:val="24"/>
                <w:szCs w:val="24"/>
              </w:rPr>
            </w:r>
          </w:p>
        </w:tc>
      </w:tr>
    </w:tbl>
    <w:p>
      <w:pPr>
        <w:pStyle w:val="1023"/>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pPr>
        <w:pStyle w:val="100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275/2025/01DN/VFI-CT.135</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4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BT5-23 Khu đô thị mới Văn Phú, phường Phú La, quận Hà Đông,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w:t>
            </w:r>
            <w:r>
              <w:rPr>
                <w:b/>
                <w:bCs/>
                <w:lang w:val="vi-VN"/>
              </w:rPr>
            </w:r>
            <w:r>
              <w:rPr>
                <w:b/>
                <w:bCs/>
                <w:lang w:val="vi-VN"/>
              </w:rPr>
            </w:r>
          </w:p>
        </w:tc>
      </w:tr>
    </w:tbl>
    <w:p>
      <w:pPr>
        <w:pStyle w:val="102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Phan Hải Sơn</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022081002788</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Giá trị quyền sử dụng đất tại Thửa đất số: 89, tờ bản đồ số: 141, địa chỉ: Lô 10 - LK2, Khu C - KDC Nam cầu Cẩm Lệ, phường Hòa Xuân, thành phố Đà</w:t>
            </w:r>
            <w:r>
              <w:rPr>
                <w:bCs/>
                <w:color w:val="000000" w:themeColor="text1"/>
                <w:lang w:val="pt-BR"/>
              </w:rPr>
              <w:t xml:space="preserve"> Nẵng theo Giấy chứng nhận quyền sử dụng đất, quyền sở hữu tài sản gắn liền với đất số:  AA 03605483, số vào sổ cấp GCN: VP 9381 do Văn phòng Đăng ký đất đai thành phố Đà Nẵng cấp ngày 11/9/2025. Chủ sử dụng tào sản là Ông Phan Hải Sơn và bà Lê Hồng Nhung.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Lô 10 - LK2, Khu C - KDC Nam cầu Cẩm Lệ, phường Hòa Xuân, thành phố Đà Nẵng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15.9985046, 108.2098696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4"/>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4"/>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4"/>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4"/>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4"/>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4"/>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4"/>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03605483, số vào sổ cấp GCN: VP 9381 do Văn phòng Đăng ký đất đai thành phố Đà Nẵng cấp ngày 11/9/2025. Chủ sử dụng tào sản là Ông Phan Hải Sơn và bà Lê Hồng Nhung.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4"/>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275/2025/1719/VFI-HĐTĐ.01ĐN.A ký ngày 04/12/2025 giữa Ông Phản Hải Sơn với Công ty Cổ phần Thẩm định và Đầu tư Tài chính Hoa Sen</w:t>
      </w:r>
      <w:r>
        <w:rPr>
          <w:b/>
          <w:lang w:val="pt-BR"/>
        </w:rPr>
      </w:r>
      <w:r>
        <w:rPr>
          <w:b/>
          <w:lang w:val="pt-BR"/>
        </w:rPr>
      </w:r>
    </w:p>
    <w:p>
      <w:pPr>
        <w:pStyle w:val="1024"/>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shd w:val="clear" w:color="auto" w:fill="ffffff"/>
        </w:rPr>
        <w:t xml:space="preserve">Thận trọng khi giá đất nền Đà Nẵng tăng trở lại</w:t>
        <w:br/>
        <w:t xml:space="preserve">Thị trường đất nền Đà Nẵng</w:t>
      </w:r>
      <w:r>
        <w:rPr>
          <w:shd w:val="clear" w:color="auto" w:fill="ffffff"/>
        </w:rPr>
        <w:t xml:space="preserve"> đang tăng giá trở lại sau thời gian trầm lắng.</w:t>
        <w:br/>
        <w:t xml:space="preserve">Khảo sát của chuyên trang Batdongsan.com.vn, thị trường đất nền Đà Nẵng là một trong số ít thị trường đất nền khu vực miền Trung có những bước nhảy mạnh mẽ về giá trong thời gian qua.</w:t>
        <w:br/>
        <w:t xml:space="preserve">Hàng loạt các cú hích lớ</w:t>
      </w:r>
      <w:r>
        <w:rPr>
          <w:shd w:val="clear" w:color="auto" w:fill="ffffff"/>
        </w:rPr>
        <w:t xml:space="preserve">n như sáp nhập tỉnh, hạ tầng được đầu tư phát triển, du lịch tăng trưởng trở lại và hàng loạt các dự án tung hàng trở thành động lực tăng trưởng của bất động sản Đà Nẵng nói chung, phân khúc đất nền nói riêng.</w:t>
        <w:br/>
        <w:t xml:space="preserve">Đáng chú ý, một trong những điểm nóng tiêu biể</w:t>
      </w:r>
      <w:r>
        <w:rPr>
          <w:shd w:val="clear" w:color="auto" w:fill="ffffff"/>
        </w:rPr>
        <w:t xml:space="preserve">u của đất nền Đà Nẵng là trục ven biển kéo dài từ Sơn Trà - Mỹ Khê - Ngũ Hành Sơn - Hội An đến Chu Lai.</w:t>
        <w:br/>
        <w:t xml:space="preserve">Đơn cử, tại phường Sơn Trà, nhiều lô đất nền cách biển Mỹ Khê khoảng 200-300mm, giá đất đã tăng khoảng 20% so với cuối năm ngoái. Từ mức trung bình 70-7</w:t>
      </w:r>
      <w:r>
        <w:rPr>
          <w:shd w:val="clear" w:color="auto" w:fill="ffffff"/>
        </w:rPr>
        <w:t xml:space="preserve">5 triệu đồng/m2 lên 85-97 triệu đồng/m2.</w:t>
        <w:br/>
        <w:t xml:space="preserve">Đất nền phường An Hải, đường Nguyễn Chính, trong vòng 1 năm qua mức giá đã tăng từ mức 80-85 triệu đồng/m2 lên 120-125 triệu đồng/m2. Đất nền đường Nguyễn Đức An giá cũng tăng từ 95-105 triệu đồng/m2 lên khoảng giá </w:t>
      </w:r>
      <w:r>
        <w:rPr>
          <w:shd w:val="clear" w:color="auto" w:fill="ffffff"/>
        </w:rPr>
        <w:t xml:space="preserve">120-130 triệu đồng/m2.</w:t>
        <w:br/>
        <w:t xml:space="preserve">Trong khi đó, đất nền phường Ngũ Hành Sơn, những lô vị trí mặt tiền đường Chế Lan Viên giá cũng tăng từ hơn 90 triệu đồng/m2 lên mức 115-120 triệu đồng/m2...</w:t>
        <w:br/>
        <w:t xml:space="preserve">Nhiều chuyên gia bất động sản cho rằng, không thể phủ nhận thực tế thị trườ</w:t>
      </w:r>
      <w:r>
        <w:rPr>
          <w:shd w:val="clear" w:color="auto" w:fill="ffffff"/>
        </w:rPr>
        <w:t xml:space="preserve">ng đất nền Đà Nẵng đang nóng sốt nhờ hạ tầng được đầu tư đồng bộ, định hướng phát triển rõ ràng, du lịch bùng nổ và tâm lý tích trữ tài sản của người dân.</w:t>
        <w:br/>
        <w:t xml:space="preserve">Trong cơn nóng sốt này, người dân càng phải tỉnh táo trước các quyết định xuống tiền đầu tư.</w:t>
        <w:br/>
        <w:t xml:space="preserve">“Đà Nẵng</w:t>
      </w:r>
      <w:r>
        <w:rPr>
          <w:shd w:val="clear" w:color="auto" w:fill="ffffff"/>
        </w:rPr>
        <w:t xml:space="preserve"> từng trải qua nhiều đợt sốt đất, giá bị đẩy lên cao rồi nhanh chóng chững lại. Nhà đầu tư cần cảnh giác trước tin đồn, tránh mua theo tâm lý đám đông. Phân tích giá trị thật của lô đất mới là chìa khóa quyết định đầu tư thành công” - ông Hoàng Văn Trường </w:t>
      </w:r>
      <w:r>
        <w:rPr>
          <w:shd w:val="clear" w:color="auto" w:fill="ffffff"/>
        </w:rPr>
        <w:t xml:space="preserve">(nhà đầu tư bất động sản ở Đà Nẵng) nhấn mạnh.</w:t>
        <w:br/>
        <w:t xml:space="preserve">Đề cập đến nội dung này, ông Võ Hồng Thắng - Phó tổng Giám đốc đơn vị cung cấp dịch vụ bất động sản DKRA Group - nhận định, nửa đầu năm nay, thị trường đất nền Đà Nẵng đã có sự hồi phục. Nhưng từ khi có thông </w:t>
      </w:r>
      <w:r>
        <w:rPr>
          <w:shd w:val="clear" w:color="auto" w:fill="ffffff"/>
        </w:rPr>
        <w:t xml:space="preserve">tin sáp nhập, thị trường Đà Nẵng có sự hồi phục mạnh mẽ hơn, đặc biệt là các khu vực vùng ven giáp ranh với Quảng Nam (cũ) như Hòa Xuân, Ngũ Hành Sơn...</w:t>
        <w:br/>
        <w:br/>
        <w:t xml:space="preserve">Thời điểm đó, giao dịch đất nền tại Đà Nẵng tăng đột biến, mức giá cũng tăng khoảng 15-20%, có nơi tăn</w:t>
      </w:r>
      <w:r>
        <w:rPr>
          <w:shd w:val="clear" w:color="auto" w:fill="ffffff"/>
        </w:rPr>
        <w:t xml:space="preserve">g tới 30%.</w:t>
        <w:br/>
        <w:t xml:space="preserve">Trong khoảng vài tháng trở lại đây, Đà Nẵng có nhiều thông tin về dự án lớn triển khai như Khu thương mại tự do, Trung tâm tài chính quốc tế...</w:t>
        <w:br/>
        <w:t xml:space="preserve">Tuy nhiên, nguồn cung đất nền tại Đà Nẵng hiện vẫn tương đối khan hiếm, chủ yếu là hàng thứ cấp và dự</w:t>
      </w:r>
      <w:r>
        <w:rPr>
          <w:shd w:val="clear" w:color="auto" w:fill="ffffff"/>
        </w:rPr>
        <w:t xml:space="preserve"> án cũ. Chuyên gia nhận định, sau sáp nhập, thị trường bất động sản Đà Nẵng sẽ còn nhiều dư địa để phát triển hơn, trong đó có phân khúc đất nền.</w:t>
        <w:br/>
        <w:t xml:space="preserve">(Nguồn tham khảo: https://laodong.vn/bat-dong-san/than-trong-khi-gia-dat-nen-da-nang-tang-tro-lai-1583675.ldo)</w:t>
      </w:r>
      <w:r>
        <w:rPr>
          <w:i/>
          <w:iCs/>
          <w:lang w:val="pt-BR"/>
        </w:rPr>
      </w:r>
      <w:r>
        <w:rPr>
          <w:i/>
          <w:iCs/>
          <w:lang w:val="pt-BR"/>
        </w:rPr>
      </w:r>
    </w:p>
    <w:p>
      <w:pPr>
        <w:pStyle w:val="102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Giá trị quyền sử dụng đất tại Thửa đất số: 89, tờ bản đồ số: 141, địa chỉ: Lô 10 - LK2, Khu C - KDC Nam cầu Cẩm Lệ, phường Hòa Xuân, thành phố Đà</w:t>
            </w:r>
            <w:r>
              <w:rPr>
                <w:b/>
                <w:bCs/>
                <w:color w:val="000000"/>
              </w:rPr>
              <w:t xml:space="preserve"> Nẵng theo Giấy chứng nhận quyền sử dụng đất, quyền sở hữu tài sản gắn liền với đất số:  AA 03605483, số vào sổ cấp GCN: VP 9381 do Văn phòng Đăng ký đất đai thành phố Đà Nẵng cấp ngày 11/9/2025. Chủ sử dụng tào sản là Ông Phan Hải Sơn và bà Lê Hồng Nhung.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141</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Lô 10-LK2, Khu C - KDC Nam cầu Cẩm Lệ, Phường Hòa Xuân, Thành Phố Đà Nẵng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101,5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 QH 7,5m + vỉa hè 4m</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7.5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đường Văn Tiến Dũng khoảng 360m, cách UBND phường Hoà Xuân khoảng 450m.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 </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rPr>
                <w:color w:val="000000" w:themeColor="text1"/>
              </w:rPr>
              <w:t xml:space="preserve">Hướng Bắc: Tiếp giáp khác (Mương/kênh/rạch, khe thoáng,…).</w:t>
              <w:br/>
              <w:t xml:space="preserve">Hướng Đông: Tiếp giáp thửa đất khác.</w:t>
              <w:br/>
              <w:t xml:space="preserve">Hướng Tây: Tiếp giáp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15.9985046</w:t>
            </w:r>
            <w:r>
              <w:rPr>
                <w:color w:val="000000"/>
              </w:rPr>
              <w:t xml:space="preserve">, </w:t>
            </w:r>
            <w:r>
              <w:rPr>
                <w:color w:val="000000"/>
              </w:rPr>
              <w:t xml:space="preserve">108.2098696</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363655"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15"/>
                              <a:stretch/>
                            </pic:blipFill>
                            <pic:spPr bwMode="auto">
                              <a:xfrm>
                                <a:off x="0" y="0"/>
                                <a:ext cx="5363655"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2.34pt;height:200.00pt;mso-wrap-distance-left:0.00pt;mso-wrap-distance-top:0.00pt;mso-wrap-distance-right:0.00pt;mso-wrap-distance-bottom:0.00pt;z-index:1;" stroked="false">
                      <v:imagedata r:id="rId15"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101,5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20,3</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 </w:t>
            </w:r>
            <w:r>
              <w:rPr>
                <w:color w:val="000000"/>
              </w:rPr>
              <w:t xml:space="preserve">Tại thời điểm khảo sát dưới sự hướng dẫn của Khách hàng, CTXD gắn liền với đất là Nhà ở độc lập 03 tầ</w:t>
            </w:r>
            <w:r>
              <w:rPr>
                <w:color w:val="000000"/>
              </w:rPr>
              <w:t xml:space="preserve">ng, xây dựng năm 2024, diện tích xây dựng ~75m², tổng diện tích sàn 214,5m2. Kết cấu BTCT, nền gạch men, tường gạch xây ốp đá, trần ốp gỗ, mái BTCT + tole, cầu thang BTCT + bậc cầu thang ốp đá + lan can kính + tay vịn gỗ. CTXD đã cập nhật đăng bộ trên GCN.</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8"/>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Lô 10-LK2, Khu C - KDC Nam cầu Cẩm Lệ, Phường Hòa Xuân, Thành Phố Đà Nẵng ✔</w:t>
            </w:r>
            <w:r/>
          </w:p>
        </w:tc>
        <w:tc>
          <w:tcPr>
            <w:tcBorders/>
            <w:tcW w:w="1605" w:type="dxa"/>
            <w:vAlign w:val="center"/>
            <w:textDirection w:val="lrTb"/>
            <w:noWrap w:val="false"/>
          </w:tcPr>
          <w:p>
            <w:pPr>
              <w:pBdr/>
              <w:spacing/>
              <w:ind/>
              <w:jc w:val="center"/>
              <w:rPr/>
            </w:pPr>
            <w:r>
              <w:t xml:space="preserve">Phường Hòa Xuân, Quận Cẩm Lệ, Tỉnh Đà Nẵng</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Trên GCN chưa thể hiện tên đường và thông tin sáp nhập Phường</w:t>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Phường Hòa Xuân, Quận Cẩm Lệ, Tỉnh Đà Nẵng</w:t>
            </w:r>
            <w:r/>
          </w:p>
        </w:tc>
        <w:tc>
          <w:tcPr>
            <w:tcBorders/>
            <w:tcW w:w="1605" w:type="dxa"/>
            <w:vAlign w:val="center"/>
            <w:textDirection w:val="lrTb"/>
            <w:noWrap w:val="false"/>
          </w:tcPr>
          <w:p>
            <w:pPr>
              <w:pBdr/>
              <w:spacing/>
              <w:ind/>
              <w:jc w:val="center"/>
              <w:rPr/>
            </w:pPr>
            <w:r>
              <w:t xml:space="preserve">Phường Hòa Xuân, Quận Cẩm Lệ, Tỉnh Đà Nẵng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tài sản gắn liền với đất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NHập hs ban đầu chưa đúng</w:t>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VT1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Nhập hs ban đầu thiếu</w:t>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bê tông</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Nhập hs ban đầu chưa đúng</w:t>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7.5</w:t>
            </w:r>
            <w:r/>
          </w:p>
        </w:tc>
        <w:tc>
          <w:tcPr>
            <w:tcBorders/>
            <w:tcW w:w="1605" w:type="dxa"/>
            <w:vAlign w:val="center"/>
            <w:textDirection w:val="lrTb"/>
            <w:noWrap w:val="false"/>
          </w:tcPr>
          <w:p>
            <w:pPr>
              <w:pBdr/>
              <w:spacing/>
              <w:ind/>
              <w:jc w:val="center"/>
              <w:rPr/>
            </w:pPr>
            <w:r>
              <w:t xml:space="preserve">7.5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Hạ tầng khu đô thị, khu phân lô/tái định cư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HS ban đầu nhập thiếu</w:t>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HS ban đầu nhập thiếu</w:t>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101.5</w:t>
            </w:r>
            <w:r/>
          </w:p>
        </w:tc>
        <w:tc>
          <w:tcPr>
            <w:tcBorders/>
            <w:tcW w:w="1605" w:type="dxa"/>
            <w:vAlign w:val="center"/>
            <w:textDirection w:val="lrTb"/>
            <w:noWrap w:val="false"/>
          </w:tcPr>
          <w:p>
            <w:pPr>
              <w:pBdr/>
              <w:spacing/>
              <w:ind/>
              <w:jc w:val="center"/>
              <w:rPr/>
            </w:pPr>
            <w:r>
              <w:t xml:space="preserve">101.5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5</w:t>
            </w:r>
            <w:r/>
          </w:p>
        </w:tc>
        <w:tc>
          <w:tcPr>
            <w:tcBorders/>
            <w:tcW w:w="1605" w:type="dxa"/>
            <w:vAlign w:val="center"/>
            <w:textDirection w:val="lrTb"/>
            <w:noWrap w:val="false"/>
          </w:tcPr>
          <w:p>
            <w:pPr>
              <w:pBdr/>
              <w:spacing/>
              <w:ind/>
              <w:jc w:val="center"/>
              <w:rPr/>
            </w:pPr>
            <w:r>
              <w:t xml:space="preserve">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20.3</w:t>
            </w:r>
            <w:r/>
          </w:p>
        </w:tc>
        <w:tc>
          <w:tcPr>
            <w:tcBorders/>
            <w:tcW w:w="1605" w:type="dxa"/>
            <w:vAlign w:val="center"/>
            <w:textDirection w:val="lrTb"/>
            <w:noWrap w:val="false"/>
          </w:tcPr>
          <w:p>
            <w:pPr>
              <w:pBdr/>
              <w:spacing/>
              <w:ind/>
              <w:jc w:val="center"/>
              <w:rPr/>
            </w:pPr>
            <w:r>
              <w:t xml:space="preserve">20.3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Nam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HS ban đầu nhập thiếu</w:t>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HS ban đầu nhập thiếu</w:t>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Khá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HS ban đầu nhập thiếu</w:t>
            </w:r>
            <w:r/>
          </w:p>
        </w:tc>
      </w:tr>
      <w:tr>
        <w:trPr>
          <w:jc w:val="center"/>
        </w:trPr>
        <w:tc>
          <w:tcPr>
            <w:tcBorders/>
            <w:tcW w:w="1167" w:type="dxa"/>
            <w:vAlign w:val="center"/>
            <w:textDirection w:val="lrTb"/>
            <w:noWrap w:val="false"/>
          </w:tcPr>
          <w:p>
            <w:pPr>
              <w:pBdr/>
              <w:spacing/>
              <w:ind/>
              <w:jc w:val="center"/>
              <w:rPr/>
            </w:pPr>
            <w:r>
              <w:t xml:space="preserve">19</w:t>
            </w:r>
            <w:r/>
          </w:p>
        </w:tc>
        <w:tc>
          <w:tcPr>
            <w:tcBorders/>
            <w:tcW w:w="1663" w:type="dxa"/>
            <w:vAlign w:val="center"/>
            <w:textDirection w:val="lrTb"/>
            <w:noWrap w:val="false"/>
          </w:tcPr>
          <w:p>
            <w:pPr>
              <w:pBdr/>
              <w:spacing/>
              <w:ind/>
              <w:jc w:val="center"/>
              <w:rPr/>
            </w:pPr>
            <w:r>
              <w:t xml:space="preserve">Lợi thế thương mại</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Không có lợi thế thương mại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HS ban đầu nhập thiếu</w:t>
            </w:r>
            <w:r/>
          </w:p>
        </w:tc>
      </w:tr>
      <w:tr>
        <w:trPr>
          <w:jc w:val="center"/>
        </w:trPr>
        <w:tc>
          <w:tcPr>
            <w:tcBorders/>
            <w:tcW w:w="1167" w:type="dxa"/>
            <w:vAlign w:val="center"/>
            <w:textDirection w:val="lrTb"/>
            <w:noWrap w:val="false"/>
          </w:tcPr>
          <w:p>
            <w:pPr>
              <w:pBdr/>
              <w:spacing/>
              <w:ind/>
              <w:jc w:val="center"/>
              <w:rPr/>
            </w:pPr>
            <w:r>
              <w:t xml:space="preserve">20</w:t>
            </w:r>
            <w:r/>
          </w:p>
        </w:tc>
        <w:tc>
          <w:tcPr>
            <w:tcBorders/>
            <w:tcW w:w="1663" w:type="dxa"/>
            <w:vAlign w:val="center"/>
            <w:textDirection w:val="lrTb"/>
            <w:noWrap w:val="false"/>
          </w:tcPr>
          <w:p>
            <w:pPr>
              <w:pBdr/>
              <w:spacing/>
              <w:ind/>
              <w:jc w:val="center"/>
              <w:rPr/>
            </w:pPr>
            <w:r>
              <w:t xml:space="preserve">Bất lợi thương mại</w:t>
            </w:r>
            <w:r/>
          </w:p>
        </w:tc>
        <w:tc>
          <w:tcPr>
            <w:tcBorders/>
            <w:tcW w:w="1560" w:type="dxa"/>
            <w:vAlign w:val="center"/>
            <w:textDirection w:val="lrTb"/>
            <w:noWrap w:val="false"/>
          </w:tcPr>
          <w:p>
            <w:pPr>
              <w:pBdr/>
              <w:spacing/>
              <w:ind/>
              <w:jc w:val="center"/>
              <w:rPr/>
            </w:pPr>
            <w:r>
              <w:t xml:space="preserve">Không có bất lợi thương mại</w:t>
            </w:r>
            <w:r/>
          </w:p>
        </w:tc>
        <w:tc>
          <w:tcPr>
            <w:tcBorders/>
            <w:tcW w:w="1605" w:type="dxa"/>
            <w:vAlign w:val="center"/>
            <w:textDirection w:val="lrTb"/>
            <w:noWrap w:val="false"/>
          </w:tcPr>
          <w:p>
            <w:pPr>
              <w:pBdr/>
              <w:spacing/>
              <w:ind/>
              <w:jc w:val="center"/>
              <w:rPr/>
            </w:pPr>
            <w:r>
              <w:t xml:space="preserve">Không có bất lợi thương mại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21</w:t>
            </w:r>
            <w:r/>
          </w:p>
        </w:tc>
        <w:tc>
          <w:tcPr>
            <w:tcBorders/>
            <w:tcW w:w="1663" w:type="dxa"/>
            <w:vAlign w:val="center"/>
            <w:textDirection w:val="lrTb"/>
            <w:noWrap w:val="false"/>
          </w:tcPr>
          <w:p>
            <w:pPr>
              <w:pBdr/>
              <w:spacing/>
              <w:ind/>
              <w:jc w:val="center"/>
              <w:rPr/>
            </w:pPr>
            <w:r>
              <w:t xml:space="preserve">Khả năng chuyển nhượng</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HS ban đầu nhập thiếu</w:t>
            </w:r>
            <w:r/>
          </w:p>
        </w:tc>
      </w:tr>
    </w:tbl>
    <w:p>
      <w:pPr>
        <w:pBdr/>
        <w:spacing/>
        <w:ind/>
        <w:rPr>
          <w:b/>
          <w:bCs/>
        </w:rPr>
      </w:pPr>
      <w:r>
        <w:rPr>
          <w:b/>
          <w:bCs/>
        </w:rPr>
      </w:r>
      <w:r>
        <w:rPr>
          <w:b/>
          <w:bCs/>
        </w:rPr>
      </w:r>
      <w:r>
        <w:rPr>
          <w:b/>
          <w:bCs/>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4"/>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4"/>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4"/>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4"/>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4"/>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24"/>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24"/>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4"/>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4"/>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2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4"/>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4"/>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4"/>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Số 4 đường Cẩm Nam 12, Phường Hòa Xuân, Quận Cẩm Lệ, TP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Hòa Xuân, Quận Cẩm Lệ, Tỉnh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Hòa Xuân, Quận Cẩm Lệ, Tỉnh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Hòa Xuân, Quận Cẩm Lệ, Tỉnh Đà Nẵng</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https://batdongsan.com.vn/ban-dat-duong-cam-nam-12-phuong-hoa-xuan/chinh-chu-ban-12-gia-chi-hon-4-ty-7-5m-le-3m-pr44078467</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https://batdongsan.com.vn/ban-dat-duong-cam-nam-12-phuong-hoa-xuan/ban-7-5m-12-gan-cong-vien-pr44239454</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https://batdongsan.com.vn/ban-dat-duong-cam-nam-10-phuong-hoa-xuan/ban-lo-10-da-nang-7-5m-pr44622510</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0375.566670</w:t>
            </w:r>
            <w:r>
              <w:rPr>
                <w:sz w:val="22"/>
                <w:szCs w:val="22"/>
              </w:rPr>
              <w:t xml:space="preserve"> </w:t>
            </w:r>
            <w:r>
              <w:rPr>
                <w:sz w:val="22"/>
                <w:szCs w:val="22"/>
              </w:rPr>
              <w:br/>
              <w:t xml:space="preserve">(</w:t>
            </w:r>
            <w:r>
              <w:rPr>
                <w:sz w:val="22"/>
                <w:szCs w:val="22"/>
              </w:rPr>
              <w:t xml:space="preserve">Anh Huy Hoàng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0788.637979</w:t>
            </w:r>
            <w:r>
              <w:rPr>
                <w:sz w:val="22"/>
                <w:szCs w:val="22"/>
              </w:rPr>
              <w:br/>
            </w:r>
            <w:r>
              <w:rPr>
                <w:sz w:val="22"/>
                <w:szCs w:val="22"/>
              </w:rPr>
              <w:t xml:space="preserve">(</w:t>
            </w:r>
            <w:r>
              <w:rPr>
                <w:sz w:val="22"/>
                <w:szCs w:val="22"/>
              </w:rPr>
              <w:t xml:space="preserve">Anh Hoàng Duy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0934.728383</w:t>
            </w:r>
            <w:r>
              <w:rPr>
                <w:sz w:val="22"/>
                <w:szCs w:val="22"/>
              </w:rPr>
              <w:br/>
            </w:r>
            <w:r>
              <w:rPr>
                <w:sz w:val="22"/>
                <w:szCs w:val="22"/>
              </w:rPr>
              <w:t xml:space="preserve">(</w:t>
            </w:r>
            <w:r>
              <w:rPr>
                <w:sz w:val="22"/>
                <w:szCs w:val="22"/>
              </w:rPr>
              <w:t xml:space="preserve">Chị Nhung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Hòa Xuân, Quận Cẩm Lệ, Tỉnh Đà Nẵng, độ rộng đường trước mặt tài sản 7.5m, mặt tiền 5m, 15.9985046, 108.2098696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Hòa Xuân, Quận Cẩm Lệ, Tỉnh Đà Nẵng, đường Cẩm Nam 12, độ rộng đường trước mặt tài sản 7.5m, mặt tiền 5m, 15.998264300098338, 108.20938412016834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Hòa Xuân, Quận Cẩm Lệ, Tỉnh Đà Nẵng, đường Cẩm Nam 12, độ rộng đường trước mặt tài sản 7.5m, mặt tiền 5m, 15.998225750959215, 108.20896033075758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Hòa Xuân, Quận Cẩm Lệ, Tỉnh Đà Nẵng, đường Cẩm Nam 10, độ rộng đường trước mặt tài sản 7.5m, mặt tiền 5m, 15.99890217911433, 108.20976395248888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hậu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Nam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4.802.000.000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4.512.500.000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sz w:val="22"/>
                <w:szCs w:val="22"/>
              </w:rPr>
              <w:t xml:space="preserve"> </w:t>
            </w:r>
            <w:r>
              <w:rPr>
                <w:color w:val="000000" w:themeColor="text1"/>
                <w:sz w:val="22"/>
                <w:szCs w:val="22"/>
              </w:rPr>
              <w:t xml:space="preserve">1.378.216.125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Đơn giá xây dựng theo Quyết định số 409/QĐ-BXD ngày 11/4/2025 của Bộ Xây Dựng (đồng/m²)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6.590.000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 Tỷ lệ % CLCL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pPr>
              <w:pBdr/>
              <w:spacing/>
              <w:ind/>
              <w:rPr>
                <w:color w:val="000000"/>
                <w:sz w:val="22"/>
                <w:szCs w:val="22"/>
              </w:rPr>
            </w:pPr>
            <w:r>
              <w:rPr>
                <w:color w:val="000000"/>
                <w:sz w:val="22"/>
                <w:szCs w:val="22"/>
              </w:rPr>
              <w:t xml:space="preserve">Tỷ lệ % hoàn thiện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4.802.000.000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4.512.500.000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48.000.000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50.547.368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45.125.000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hậu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4"/>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4.560.000.000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4.802.000.000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4.512.500.000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48.000.000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50.547.368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45.125.000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50.547.368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50.547.368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50.547.368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Hòa Xuân, Quận Cẩm Lệ, Tỉnh Đà Nẵng, độ rộng đường trước mặt tài sản 7.5m, mặt tiền 5m, 15.9985046, 108.2098696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Hòa Xuân, Quận Cẩm Lệ, Tỉnh Đà Nẵng, đường Cẩm Nam 12, độ rộng đường trước mặt tài sản 7.5m, mặt tiền 5m, 15.998264300098338, 108.20938412016834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Hòa Xuân, Quận Cẩm Lệ, Tỉnh Đà Nẵng, đường Cẩm Nam 12, độ rộng đường trước mặt tài sản 7.5m, mặt tiền 5m, 15.998225750959215, 108.20896033075758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Hòa Xuân, Quận Cẩm Lệ, Tỉnh Đà Nẵng, đường Cẩm Nam 10, độ rộng đường trước mặt tài sản 7.5m, mặt tiền 5m, 15.99890217911433, 108.20976395248888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50.547.368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50.547.368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50.547.368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50.547.368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50.547.368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50.547.368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50.547.368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50.547.368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50.547.368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hậu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50.547.368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50.547.368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50.547.368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Hướng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Nam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Nam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Nam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Nam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50.547.368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Cảnh quan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50.547.368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50.547.368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50.547.368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Giao lộ Chữ 'T', bị đường đâm thẳng vào 'Thế tiền đao sát'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49.440.000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50.547.368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Hiện trạng môi trường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49.440.000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50.547.368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Khả năng chuyển nhượng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49.440.000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50.547.368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45.125.000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49.440.000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50.547.368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45.125.000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48.370.789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2.21%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-6.71%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1.440.000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1.440.000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w:t>
      </w:r>
      <w:r>
        <w:t xml:space="preserve">-6.71</w:t>
      </w:r>
      <w:r>
        <w:t xml:space="preserve">% đến </w:t>
      </w:r>
      <w:r>
        <w:t xml:space="preserve">4.5</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49.440.000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16.483.296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50.547.368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16.847.438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45.125.000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15.040.163</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48.370.897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48.000.000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48.000.000</w:t>
      </w:r>
      <w:r>
        <w:rPr>
          <w:b/>
          <w:bCs/>
          <w:color w:val="000000" w:themeColor="text1"/>
        </w:rPr>
        <w:t xml:space="preserve"> </w:t>
      </w:r>
      <w:r>
        <w:rPr>
          <w:b/>
          <w:bCs/>
        </w:rPr>
        <w:t xml:space="preserve">đồng/m².</w:t>
      </w:r>
      <w:r>
        <w:rPr>
          <w:b/>
          <w:bCs/>
        </w:rPr>
      </w:r>
      <w:r>
        <w:rPr>
          <w:b/>
          <w:bCs/>
        </w:rPr>
      </w:r>
    </w:p>
    <w:p>
      <w:pPr>
        <w:pStyle w:val="1024"/>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tbl>
      <w:tblPr>
        <w:tblInd w:w="-714" w:type="dxa"/>
        <w:tblW w:w="106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18"/>
        <w:gridCol w:w="1275"/>
        <w:gridCol w:w="1560"/>
        <w:gridCol w:w="1701"/>
        <w:gridCol w:w="1139"/>
        <w:gridCol w:w="1559"/>
        <w:gridCol w:w="1968"/>
      </w:tblGrid>
      <w:tr>
        <w:trPr>
          <w:trHeight w:val="936"/>
        </w:trPr>
        <w:tc>
          <w:tcPr>
            <w:shd w:val="clear" w:color="000000" w:fill="ffffff"/>
            <w:tcBorders/>
            <w:tcW w:w="1418" w:type="dxa"/>
            <w:vAlign w:val="center"/>
            <w:textDirection w:val="lrTb"/>
            <w:noWrap w:val="false"/>
          </w:tcPr>
          <w:p>
            <w:pPr>
              <w:pBdr/>
              <w:spacing w:after="60" w:before="60"/>
              <w:ind/>
              <w:jc w:val="center"/>
              <w:rPr>
                <w:b/>
                <w:bCs/>
                <w:sz w:val="22"/>
                <w:szCs w:val="22"/>
              </w:rPr>
            </w:pPr>
            <w:r>
              <w:rPr>
                <w:b/>
                <w:bCs/>
                <w:sz w:val="22"/>
                <w:szCs w:val="22"/>
              </w:rPr>
              <w:t xml:space="preserve">Tài sản</w:t>
            </w:r>
            <w:r>
              <w:rPr>
                <w:b/>
                <w:bCs/>
                <w:sz w:val="22"/>
                <w:szCs w:val="22"/>
              </w:rPr>
            </w:r>
            <w:r>
              <w:rPr>
                <w:b/>
                <w:bCs/>
                <w:sz w:val="22"/>
                <w:szCs w:val="22"/>
              </w:rPr>
            </w:r>
          </w:p>
        </w:tc>
        <w:tc>
          <w:tcPr>
            <w:shd w:val="clear" w:color="000000" w:fill="ffffff"/>
            <w:tcBorders/>
            <w:tcW w:w="1275" w:type="dxa"/>
            <w:vAlign w:val="center"/>
            <w:textDirection w:val="lrTb"/>
            <w:noWrap w:val="false"/>
          </w:tcPr>
          <w:p>
            <w:pPr>
              <w:pBdr/>
              <w:spacing w:after="60" w:before="60"/>
              <w:ind/>
              <w:jc w:val="center"/>
              <w:rPr>
                <w:b/>
                <w:bCs/>
                <w:sz w:val="22"/>
                <w:szCs w:val="22"/>
              </w:rPr>
            </w:pPr>
            <w:r>
              <w:rPr>
                <w:b/>
                <w:bCs/>
                <w:sz w:val="22"/>
                <w:szCs w:val="22"/>
              </w:rPr>
              <w:t xml:space="preserve">Diện tích sàn (m²)</w:t>
            </w:r>
            <w:r>
              <w:rPr>
                <w:b/>
                <w:bCs/>
                <w:sz w:val="22"/>
                <w:szCs w:val="22"/>
              </w:rPr>
            </w:r>
            <w:r>
              <w:rPr>
                <w:b/>
                <w:bCs/>
                <w:sz w:val="22"/>
                <w:szCs w:val="22"/>
              </w:rPr>
            </w:r>
          </w:p>
        </w:tc>
        <w:tc>
          <w:tcPr>
            <w:shd w:val="clear" w:color="000000" w:fill="ffffff"/>
            <w:tcBorders/>
            <w:tcW w:w="1560" w:type="dxa"/>
            <w:vAlign w:val="center"/>
            <w:textDirection w:val="lrTb"/>
            <w:noWrap w:val="false"/>
          </w:tcPr>
          <w:p>
            <w:pPr>
              <w:pBdr/>
              <w:spacing w:after="60" w:before="60"/>
              <w:ind/>
              <w:jc w:val="center"/>
              <w:rPr>
                <w:b/>
                <w:bCs/>
                <w:sz w:val="22"/>
                <w:szCs w:val="22"/>
              </w:rPr>
            </w:pPr>
            <w:r>
              <w:rPr>
                <w:b/>
                <w:bCs/>
                <w:sz w:val="22"/>
                <w:szCs w:val="22"/>
              </w:rPr>
              <w:t xml:space="preserve">Đơn giá xây dựng mới (đồng/m² sàn)</w:t>
            </w:r>
            <w:r>
              <w:rPr>
                <w:b/>
                <w:bCs/>
                <w:sz w:val="22"/>
                <w:szCs w:val="22"/>
              </w:rPr>
            </w:r>
            <w:r>
              <w:rPr>
                <w:b/>
                <w:bCs/>
                <w:sz w:val="22"/>
                <w:szCs w:val="22"/>
              </w:rPr>
            </w:r>
          </w:p>
        </w:tc>
        <w:tc>
          <w:tcPr>
            <w:shd w:val="clear" w:color="000000" w:fill="ffffff"/>
            <w:tcBorders/>
            <w:tcW w:w="1701" w:type="dxa"/>
            <w:vAlign w:val="center"/>
            <w:textDirection w:val="lrTb"/>
            <w:noWrap w:val="false"/>
          </w:tcPr>
          <w:p>
            <w:pPr>
              <w:pBdr/>
              <w:spacing w:after="60" w:before="60"/>
              <w:ind/>
              <w:jc w:val="center"/>
              <w:rPr>
                <w:b/>
                <w:bCs/>
                <w:sz w:val="22"/>
                <w:szCs w:val="22"/>
              </w:rPr>
            </w:pPr>
            <w:r>
              <w:rPr>
                <w:b/>
                <w:bCs/>
                <w:sz w:val="22"/>
                <w:szCs w:val="22"/>
              </w:rPr>
              <w:t xml:space="preserve">Chi phí thay thế (đồng)</w:t>
            </w:r>
            <w:r>
              <w:rPr>
                <w:b/>
                <w:bCs/>
                <w:sz w:val="22"/>
                <w:szCs w:val="22"/>
              </w:rPr>
            </w:r>
            <w:r>
              <w:rPr>
                <w:b/>
                <w:bCs/>
                <w:sz w:val="22"/>
                <w:szCs w:val="22"/>
              </w:rPr>
            </w:r>
          </w:p>
        </w:tc>
        <w:tc>
          <w:tcPr>
            <w:shd w:val="clear" w:color="000000" w:fill="ffffff"/>
            <w:tcBorders/>
            <w:tcW w:w="1139" w:type="dxa"/>
            <w:vAlign w:val="center"/>
            <w:textDirection w:val="lrTb"/>
            <w:noWrap w:val="false"/>
          </w:tcPr>
          <w:p>
            <w:pPr>
              <w:pBdr/>
              <w:spacing w:after="60" w:before="60"/>
              <w:ind/>
              <w:jc w:val="center"/>
              <w:rPr>
                <w:b/>
                <w:bCs/>
                <w:sz w:val="22"/>
                <w:szCs w:val="22"/>
              </w:rPr>
            </w:pPr>
            <w:r>
              <w:rPr>
                <w:b/>
                <w:bCs/>
                <w:sz w:val="22"/>
                <w:szCs w:val="22"/>
              </w:rPr>
              <w:t xml:space="preserve">Tỷ lệ hao mòn (%)</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Giá trị hao mòn (đồng)</w:t>
            </w:r>
            <w:r>
              <w:rPr>
                <w:b/>
                <w:bCs/>
                <w:sz w:val="22"/>
                <w:szCs w:val="22"/>
              </w:rPr>
            </w:r>
            <w:r>
              <w:rPr>
                <w:b/>
                <w:bCs/>
                <w:sz w:val="22"/>
                <w:szCs w:val="22"/>
              </w:rPr>
            </w:r>
          </w:p>
        </w:tc>
        <w:tc>
          <w:tcPr>
            <w:shd w:val="clear" w:color="000000" w:fill="ffffff"/>
            <w:tcBorders/>
            <w:tcW w:w="1968" w:type="dxa"/>
            <w:vAlign w:val="center"/>
            <w:textDirection w:val="lrTb"/>
            <w:noWrap w:val="false"/>
          </w:tcPr>
          <w:p>
            <w:pPr>
              <w:pBdr/>
              <w:spacing w:after="60" w:before="60"/>
              <w:ind/>
              <w:jc w:val="center"/>
              <w:rPr>
                <w:b/>
                <w:bCs/>
                <w:sz w:val="22"/>
                <w:szCs w:val="22"/>
              </w:rPr>
            </w:pPr>
            <w:r>
              <w:rPr>
                <w:b/>
                <w:bCs/>
                <w:sz w:val="22"/>
                <w:szCs w:val="22"/>
              </w:rPr>
              <w:t xml:space="preserve">Giá trị thẩm định tại thời điểm thẩm định giá (đồng)</w:t>
            </w:r>
            <w:r>
              <w:rPr>
                <w:b/>
                <w:bCs/>
                <w:sz w:val="22"/>
                <w:szCs w:val="22"/>
              </w:rPr>
            </w:r>
            <w:r>
              <w:rPr>
                <w:b/>
                <w:bCs/>
                <w:sz w:val="22"/>
                <w:szCs w:val="22"/>
              </w:rPr>
            </w:r>
          </w:p>
        </w:tc>
      </w:tr>
      <w:tr>
        <w:trPr>
          <w:trHeight w:val="300"/>
        </w:trPr>
        <w:tc>
          <w:tcPr>
            <w:shd w:val="clear" w:color="000000" w:fill="ffffff"/>
            <w:tcBorders/>
            <w:tcW w:w="1418" w:type="dxa"/>
            <w:vAlign w:val="center"/>
            <w:textDirection w:val="lrTb"/>
            <w:noWrap w:val="false"/>
          </w:tcPr>
          <w:p>
            <w:pPr>
              <w:pBdr/>
              <w:spacing w:after="60" w:before="60"/>
              <w:ind/>
              <w:jc w:val="center"/>
              <w:rPr>
                <w:b/>
                <w:bCs/>
                <w:sz w:val="22"/>
                <w:szCs w:val="22"/>
              </w:rPr>
            </w:pPr>
            <w:r>
              <w:rPr>
                <w:b/>
                <w:bCs/>
                <w:sz w:val="22"/>
                <w:szCs w:val="22"/>
              </w:rPr>
              <w:t xml:space="preserve">(1)</w:t>
            </w:r>
            <w:r>
              <w:rPr>
                <w:b/>
                <w:bCs/>
                <w:sz w:val="22"/>
                <w:szCs w:val="22"/>
              </w:rPr>
            </w:r>
            <w:r>
              <w:rPr>
                <w:b/>
                <w:bCs/>
                <w:sz w:val="22"/>
                <w:szCs w:val="22"/>
              </w:rPr>
            </w:r>
          </w:p>
        </w:tc>
        <w:tc>
          <w:tcPr>
            <w:shd w:val="clear" w:color="000000" w:fill="ffffff"/>
            <w:tcBorders/>
            <w:tcW w:w="1275" w:type="dxa"/>
            <w:vAlign w:val="center"/>
            <w:textDirection w:val="lrTb"/>
            <w:noWrap w:val="false"/>
          </w:tcPr>
          <w:p>
            <w:pPr>
              <w:pBdr/>
              <w:spacing w:after="60" w:before="60"/>
              <w:ind/>
              <w:jc w:val="center"/>
              <w:rPr>
                <w:b/>
                <w:bCs/>
                <w:sz w:val="22"/>
                <w:szCs w:val="22"/>
              </w:rPr>
            </w:pPr>
            <w:r>
              <w:rPr>
                <w:b/>
                <w:bCs/>
                <w:sz w:val="22"/>
                <w:szCs w:val="22"/>
              </w:rPr>
              <w:t xml:space="preserve">(2)</w:t>
            </w:r>
            <w:r>
              <w:rPr>
                <w:b/>
                <w:bCs/>
                <w:sz w:val="22"/>
                <w:szCs w:val="22"/>
              </w:rPr>
            </w:r>
            <w:r>
              <w:rPr>
                <w:b/>
                <w:bCs/>
                <w:sz w:val="22"/>
                <w:szCs w:val="22"/>
              </w:rPr>
            </w:r>
          </w:p>
        </w:tc>
        <w:tc>
          <w:tcPr>
            <w:shd w:val="clear" w:color="000000" w:fill="ffffff"/>
            <w:tcBorders/>
            <w:tcW w:w="1560" w:type="dxa"/>
            <w:vAlign w:val="center"/>
            <w:textDirection w:val="lrTb"/>
            <w:noWrap w:val="false"/>
          </w:tcPr>
          <w:p>
            <w:pPr>
              <w:pBdr/>
              <w:spacing w:after="60" w:before="60"/>
              <w:ind/>
              <w:jc w:val="center"/>
              <w:rPr>
                <w:b/>
                <w:bCs/>
                <w:sz w:val="22"/>
                <w:szCs w:val="22"/>
              </w:rPr>
            </w:pPr>
            <w:r>
              <w:rPr>
                <w:b/>
                <w:bCs/>
                <w:sz w:val="22"/>
                <w:szCs w:val="22"/>
              </w:rPr>
              <w:t xml:space="preserve">(3)</w:t>
            </w:r>
            <w:r>
              <w:rPr>
                <w:b/>
                <w:bCs/>
                <w:sz w:val="22"/>
                <w:szCs w:val="22"/>
              </w:rPr>
            </w:r>
            <w:r>
              <w:rPr>
                <w:b/>
                <w:bCs/>
                <w:sz w:val="22"/>
                <w:szCs w:val="22"/>
              </w:rPr>
            </w:r>
          </w:p>
        </w:tc>
        <w:tc>
          <w:tcPr>
            <w:shd w:val="clear" w:color="000000" w:fill="ffffff"/>
            <w:tcBorders/>
            <w:tcW w:w="1701" w:type="dxa"/>
            <w:vAlign w:val="center"/>
            <w:textDirection w:val="lrTb"/>
            <w:noWrap w:val="false"/>
          </w:tcPr>
          <w:p>
            <w:pPr>
              <w:pBdr/>
              <w:spacing w:after="60" w:before="60"/>
              <w:ind/>
              <w:jc w:val="center"/>
              <w:rPr>
                <w:b/>
                <w:bCs/>
                <w:sz w:val="22"/>
                <w:szCs w:val="22"/>
              </w:rPr>
            </w:pPr>
            <w:r>
              <w:rPr>
                <w:b/>
                <w:bCs/>
                <w:sz w:val="22"/>
                <w:szCs w:val="22"/>
              </w:rPr>
              <w:t xml:space="preserve">(4) = (2) * (3)</w:t>
            </w:r>
            <w:r>
              <w:rPr>
                <w:b/>
                <w:bCs/>
                <w:sz w:val="22"/>
                <w:szCs w:val="22"/>
              </w:rPr>
            </w:r>
            <w:r>
              <w:rPr>
                <w:b/>
                <w:bCs/>
                <w:sz w:val="22"/>
                <w:szCs w:val="22"/>
              </w:rPr>
            </w:r>
          </w:p>
        </w:tc>
        <w:tc>
          <w:tcPr>
            <w:shd w:val="clear" w:color="000000" w:fill="ffffff"/>
            <w:tcBorders/>
            <w:tcW w:w="1139" w:type="dxa"/>
            <w:vAlign w:val="center"/>
            <w:textDirection w:val="lrTb"/>
            <w:noWrap w:val="false"/>
          </w:tcPr>
          <w:p>
            <w:pPr>
              <w:pBdr/>
              <w:spacing w:after="60" w:before="60"/>
              <w:ind/>
              <w:jc w:val="center"/>
              <w:rPr>
                <w:b/>
                <w:bCs/>
                <w:sz w:val="22"/>
                <w:szCs w:val="22"/>
              </w:rPr>
            </w:pPr>
            <w:r>
              <w:rPr>
                <w:b/>
                <w:bCs/>
                <w:sz w:val="22"/>
                <w:szCs w:val="22"/>
              </w:rPr>
              <w:t xml:space="preserve">(5)</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6</w:t>
            </w:r>
            <w:r>
              <w:rPr>
                <w:b/>
                <w:bCs/>
                <w:sz w:val="22"/>
                <w:szCs w:val="22"/>
              </w:rPr>
              <w:t xml:space="preserve">)</w:t>
            </w:r>
            <w:r>
              <w:rPr>
                <w:b/>
                <w:bCs/>
                <w:sz w:val="22"/>
                <w:szCs w:val="22"/>
              </w:rPr>
              <w:t xml:space="preserve">=</w:t>
            </w:r>
            <w:r>
              <w:rPr>
                <w:b/>
                <w:bCs/>
                <w:sz w:val="22"/>
                <w:szCs w:val="22"/>
              </w:rPr>
              <w:t xml:space="preserve">(4)*(5)</w:t>
            </w:r>
            <w:r>
              <w:rPr>
                <w:b/>
                <w:bCs/>
                <w:sz w:val="22"/>
                <w:szCs w:val="22"/>
              </w:rPr>
            </w:r>
            <w:r>
              <w:rPr>
                <w:b/>
                <w:bCs/>
                <w:sz w:val="22"/>
                <w:szCs w:val="22"/>
              </w:rPr>
            </w:r>
          </w:p>
        </w:tc>
        <w:tc>
          <w:tcPr>
            <w:shd w:val="clear" w:color="000000" w:fill="ffffff"/>
            <w:tcBorders/>
            <w:tcW w:w="1968"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7</w:t>
            </w:r>
            <w:r>
              <w:rPr>
                <w:b/>
                <w:bCs/>
                <w:sz w:val="22"/>
                <w:szCs w:val="22"/>
              </w:rPr>
              <w:t xml:space="preserve">) = (4) - (</w:t>
            </w:r>
            <w:r>
              <w:rPr>
                <w:b/>
                <w:bCs/>
                <w:sz w:val="22"/>
                <w:szCs w:val="22"/>
              </w:rPr>
              <w:t xml:space="preserve">6</w:t>
            </w:r>
            <w:r>
              <w:rPr>
                <w:b/>
                <w:bCs/>
                <w:sz w:val="22"/>
                <w:szCs w:val="22"/>
              </w:rPr>
              <w:t xml:space="preserve">)</w:t>
            </w:r>
            <w:r>
              <w:rPr>
                <w:b/>
                <w:bCs/>
                <w:sz w:val="22"/>
                <w:szCs w:val="22"/>
              </w:rPr>
            </w:r>
            <w:r>
              <w:rPr>
                <w:b/>
                <w:bCs/>
                <w:sz w:val="22"/>
                <w:szCs w:val="22"/>
              </w:rPr>
            </w:r>
          </w:p>
        </w:tc>
      </w:tr>
      <w:tr>
        <w:trPr>
          <w:trHeight w:val="312"/>
        </w:trPr>
        <w:tc>
          <w:tcPr>
            <w:tcBorders/>
            <w:tcW w:w="1418" w:type="dxa"/>
            <w:vAlign w:val="center"/>
            <w:textDirection w:val="lrTb"/>
            <w:noWrap w:val="false"/>
          </w:tcPr>
          <w:p>
            <w:pPr>
              <w:pBdr/>
              <w:spacing w:after="60" w:before="60"/>
              <w:ind/>
              <w:jc w:val="center"/>
              <w:rPr>
                <w:sz w:val="22"/>
                <w:szCs w:val="22"/>
              </w:rPr>
            </w:pPr>
            <w:r>
              <w:rPr>
                <w:sz w:val="22"/>
                <w:szCs w:val="22"/>
              </w:rPr>
              <w:t xml:space="preserve">Nhà ở độc lập</w:t>
            </w:r>
            <w:r>
              <w:rPr>
                <w:sz w:val="22"/>
                <w:szCs w:val="22"/>
              </w:rPr>
            </w:r>
            <w:r>
              <w:rPr>
                <w:sz w:val="22"/>
                <w:szCs w:val="22"/>
              </w:rPr>
            </w:r>
          </w:p>
        </w:tc>
        <w:tc>
          <w:tcPr>
            <w:tcBorders/>
            <w:tcW w:w="1275" w:type="dxa"/>
            <w:vAlign w:val="center"/>
            <w:textDirection w:val="lrTb"/>
            <w:noWrap/>
          </w:tcPr>
          <w:p>
            <w:pPr>
              <w:pBdr/>
              <w:spacing w:after="60" w:before="60"/>
              <w:ind/>
              <w:jc w:val="center"/>
              <w:rPr>
                <w:sz w:val="22"/>
                <w:szCs w:val="22"/>
              </w:rPr>
            </w:pPr>
            <w:r>
              <w:rPr>
                <w:sz w:val="22"/>
                <w:szCs w:val="22"/>
              </w:rPr>
              <w:t xml:space="preserve">214.5</w:t>
            </w:r>
            <w:r>
              <w:rPr>
                <w:sz w:val="22"/>
                <w:szCs w:val="22"/>
              </w:rPr>
            </w:r>
            <w:r>
              <w:rPr>
                <w:sz w:val="22"/>
                <w:szCs w:val="22"/>
              </w:rPr>
            </w:r>
          </w:p>
        </w:tc>
        <w:tc>
          <w:tcPr>
            <w:tcBorders/>
            <w:tcW w:w="1560" w:type="dxa"/>
            <w:vAlign w:val="center"/>
            <w:textDirection w:val="lrTb"/>
            <w:noWrap/>
          </w:tcPr>
          <w:p>
            <w:pPr>
              <w:pBdr/>
              <w:spacing w:after="60" w:before="60"/>
              <w:ind/>
              <w:jc w:val="center"/>
              <w:rPr>
                <w:sz w:val="22"/>
                <w:szCs w:val="22"/>
              </w:rPr>
            </w:pPr>
            <w:r>
              <w:rPr>
                <w:sz w:val="22"/>
                <w:szCs w:val="22"/>
              </w:rPr>
              <w:t xml:space="preserve">6.590.000</w:t>
            </w:r>
            <w:r>
              <w:rPr>
                <w:sz w:val="22"/>
                <w:szCs w:val="22"/>
              </w:rPr>
            </w:r>
            <w:r>
              <w:rPr>
                <w:sz w:val="22"/>
                <w:szCs w:val="22"/>
              </w:rPr>
            </w:r>
          </w:p>
        </w:tc>
        <w:tc>
          <w:tcPr>
            <w:tcBorders/>
            <w:tcW w:w="1701" w:type="dxa"/>
            <w:vAlign w:val="center"/>
            <w:textDirection w:val="lrTb"/>
            <w:noWrap/>
          </w:tcPr>
          <w:p>
            <w:pPr>
              <w:pBdr/>
              <w:spacing w:after="60" w:before="60"/>
              <w:ind/>
              <w:jc w:val="center"/>
              <w:rPr>
                <w:sz w:val="22"/>
                <w:szCs w:val="22"/>
              </w:rPr>
            </w:pPr>
            <w:r>
              <w:rPr>
                <w:sz w:val="22"/>
                <w:szCs w:val="22"/>
              </w:rPr>
              <w:t xml:space="preserve">1.413.555.000</w:t>
            </w:r>
            <w:r>
              <w:rPr>
                <w:sz w:val="22"/>
                <w:szCs w:val="22"/>
              </w:rPr>
            </w:r>
            <w:r>
              <w:rPr>
                <w:sz w:val="22"/>
                <w:szCs w:val="22"/>
              </w:rPr>
            </w:r>
          </w:p>
        </w:tc>
        <w:tc>
          <w:tcPr>
            <w:tcBorders/>
            <w:tcW w:w="1139" w:type="dxa"/>
            <w:vAlign w:val="center"/>
            <w:textDirection w:val="lrTb"/>
            <w:noWrap w:val="false"/>
          </w:tcPr>
          <w:p>
            <w:pPr>
              <w:pBdr/>
              <w:spacing w:after="60" w:before="60"/>
              <w:ind/>
              <w:jc w:val="center"/>
              <w:rPr>
                <w:sz w:val="22"/>
                <w:szCs w:val="22"/>
              </w:rPr>
            </w:pPr>
            <w:r>
              <w:rPr>
                <w:sz w:val="22"/>
                <w:szCs w:val="22"/>
              </w:rPr>
              <w:t xml:space="preserve">2.5%</w:t>
            </w:r>
            <w:r>
              <w:rPr>
                <w:sz w:val="22"/>
                <w:szCs w:val="22"/>
              </w:rPr>
            </w:r>
            <w:r>
              <w:rPr>
                <w:sz w:val="22"/>
                <w:szCs w:val="22"/>
              </w:rPr>
            </w:r>
          </w:p>
        </w:tc>
        <w:tc>
          <w:tcPr>
            <w:tcBorders/>
            <w:tcW w:w="1559" w:type="dxa"/>
            <w:vAlign w:val="center"/>
            <w:textDirection w:val="lrTb"/>
            <w:noWrap/>
          </w:tcPr>
          <w:p>
            <w:pPr>
              <w:pBdr/>
              <w:spacing w:after="60" w:before="60"/>
              <w:ind/>
              <w:jc w:val="center"/>
              <w:rPr>
                <w:sz w:val="22"/>
                <w:szCs w:val="22"/>
              </w:rPr>
            </w:pPr>
            <w:r>
              <w:rPr>
                <w:sz w:val="22"/>
                <w:szCs w:val="22"/>
              </w:rPr>
              <w:t xml:space="preserve">35.338.875</w:t>
            </w:r>
            <w:r>
              <w:rPr>
                <w:sz w:val="22"/>
                <w:szCs w:val="22"/>
              </w:rPr>
            </w:r>
            <w:r>
              <w:rPr>
                <w:sz w:val="22"/>
                <w:szCs w:val="22"/>
              </w:rPr>
            </w:r>
          </w:p>
        </w:tc>
        <w:tc>
          <w:tcPr>
            <w:tcBorders/>
            <w:tcW w:w="1968" w:type="dxa"/>
            <w:vAlign w:val="center"/>
            <w:textDirection w:val="lrTb"/>
            <w:noWrap w:val="false"/>
          </w:tcPr>
          <w:p>
            <w:pPr>
              <w:pBdr/>
              <w:spacing w:after="60" w:before="60"/>
              <w:ind/>
              <w:jc w:val="center"/>
              <w:rPr>
                <w:sz w:val="22"/>
                <w:szCs w:val="22"/>
              </w:rPr>
            </w:pPr>
            <w:r>
              <w:rPr>
                <w:sz w:val="22"/>
                <w:szCs w:val="22"/>
              </w:rPr>
              <w:t xml:space="preserve">1.378.216.125</w:t>
            </w:r>
            <w:r>
              <w:rPr>
                <w:sz w:val="22"/>
                <w:szCs w:val="22"/>
              </w:rPr>
            </w:r>
            <w:r>
              <w:rPr>
                <w:sz w:val="22"/>
                <w:szCs w:val="22"/>
              </w:rPr>
            </w:r>
          </w:p>
        </w:tc>
      </w:tr>
    </w:tbl>
    <w:p>
      <w:pPr>
        <w:pStyle w:val="1024"/>
        <w:pBdr/>
        <w:spacing w:after="120" w:before="120" w:line="276" w:lineRule="auto"/>
        <w:ind w:left="357"/>
        <w:jc w:val="both"/>
        <w:rPr>
          <w:b/>
          <w:lang w:val="pt-BR"/>
        </w:rPr>
      </w:pPr>
      <w:r>
        <w:rPr>
          <w:b/>
          <w:lang w:val="pt-BR"/>
        </w:rPr>
      </w:r>
      <w:r>
        <w:rPr>
          <w:b/>
          <w:lang w:val="pt-BR"/>
        </w:rPr>
      </w:r>
      <w:r>
        <w:rPr>
          <w:b/>
          <w:lang w:val="pt-BR"/>
        </w:rPr>
      </w:r>
    </w:p>
    <w:p>
      <w:pPr>
        <w:pStyle w:val="1024"/>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4"/>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12/2025</w:t>
      </w:r>
      <w:r>
        <w:t xml:space="preserve"> </w:t>
      </w:r>
      <w:r>
        <w:t xml:space="preserve">ước tính </w:t>
      </w:r>
      <w:r>
        <w:t xml:space="preserve">như sau</w:t>
      </w:r>
      <w:r>
        <w:t xml:space="preserve">:</w:t>
      </w:r>
      <w:r/>
    </w:p>
    <w:p>
      <w:pPr>
        <w:pStyle w:val="1024"/>
        <w:pBdr/>
        <w:tabs>
          <w:tab w:val="left" w:leader="none" w:pos="993"/>
        </w:tabs>
        <w:spacing w:after="120" w:before="120" w:line="276" w:lineRule="auto"/>
        <w:ind w:left="0"/>
        <w:jc w:val="both"/>
        <w:rPr/>
      </w:pPr>
      <w:r/>
      <w:r/>
    </w:p>
    <w:p>
      <w:pPr>
        <w:pStyle w:val="1024"/>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Giá trị quyền sử dụng đất tại Thửa đất số: 89, tờ bản đồ số: 141, địa chỉ: Lô 10 - LK2, Khu C - KDC Nam cầu Cẩm Lệ, phường Hòa Xuân, thành phố Đà</w:t>
            </w:r>
            <w:r>
              <w:rPr>
                <w:color w:val="000000"/>
              </w:rPr>
              <w:t xml:space="preserve"> Nẵng theo Giấy chứng nhận quyền sử dụng đất, quyền sở hữu tài sản gắn liền với đất số:  AA 03605483, số vào sổ cấp GCN: VP 9381 do Văn phòng Đăng ký đất đai thành phố Đà Nẵng cấp ngày 11/9/2025. Chủ sử dụng tào sản là Ông Phan Hải Sơn và bà Lê Hồng Nhung.</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101.5</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48.000.000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4.872.000.000</w:t>
            </w: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2</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Nhà ở độc lập</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214.5</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6.590.000(97.5%)</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1.378.216.125</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6.250.000.000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6.250.200.000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hai trăm năm mươi triệu hai trăm nghìn</w:t>
            </w:r>
            <w:r>
              <w:rPr>
                <w:b/>
                <w:bCs/>
                <w:i/>
                <w:iCs/>
                <w:color w:val="000000"/>
              </w:rPr>
              <w:t xml:space="preserve">./.)</w:t>
            </w:r>
            <w:r>
              <w:rPr>
                <w:b/>
                <w:bCs/>
                <w:i/>
                <w:iCs/>
                <w:color w:val="000000"/>
              </w:rPr>
            </w:r>
            <w:r>
              <w:rPr>
                <w:b/>
                <w:bCs/>
                <w:i/>
                <w:iCs/>
                <w:color w:val="000000"/>
              </w:rPr>
            </w:r>
          </w:p>
        </w:tc>
      </w:tr>
    </w:tbl>
    <w:p>
      <w:pPr>
        <w:pStyle w:val="102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4"/>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w:t>
      </w:r>
      <w:r>
        <w:rPr>
          <w:lang w:val="pt-BR"/>
        </w:rPr>
        <w:t xml:space="preserve">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4"/>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4"/>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4"/>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4"/>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4"/>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w:t>
      </w:r>
      <w:r>
        <w:rPr>
          <w:bCs/>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lang w:val="pt-BR"/>
        </w:rPr>
        <w:t xml:space="preserve">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2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4"/>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4"/>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4"/>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4"/>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4"/>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275/2025/01DN/VFI-CT.135</w:t>
      </w:r>
      <w:r>
        <w:rPr>
          <w:color w:val="ff0000"/>
          <w:lang w:val="vi-VN"/>
        </w:rPr>
        <w:t xml:space="preserve"> </w:t>
      </w:r>
      <w:r>
        <w:rPr>
          <w:color w:val="000000" w:themeColor="text1"/>
        </w:rPr>
        <w:t xml:space="preserve">ngày 4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 - Chủ tịch</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275/2025/01DN/VFI-BC.135</w:t>
      </w:r>
      <w:r>
        <w:rPr>
          <w:i/>
        </w:rPr>
        <w:t xml:space="preserve"> ngày</w:t>
      </w:r>
      <w:r>
        <w:rPr>
          <w:i/>
          <w:lang w:val="pt-BR"/>
        </w:rPr>
        <w:t xml:space="preserve"> </w:t>
      </w:r>
      <w:r>
        <w:rPr>
          <w:i/>
          <w:lang w:val="pt-BR"/>
        </w:rPr>
        <w:t xml:space="preserve">4 tháng 12 năm 2025</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16"/>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6"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275/2025/01DN/VFI-BC.135</w:t>
      </w:r>
      <w:r>
        <w:rPr>
          <w:i/>
        </w:rPr>
        <w:t xml:space="preserve"> ngày</w:t>
      </w:r>
      <w:r>
        <w:rPr>
          <w:i/>
          <w:lang w:val="pt-BR"/>
        </w:rPr>
        <w:t xml:space="preserve"> </w:t>
      </w:r>
      <w:r>
        <w:rPr>
          <w:i/>
          <w:lang w:val="pt-BR"/>
        </w:rPr>
        <w:t xml:space="preserve">4 tháng 12 năm 2025</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https://batdongsan.com.vn/ban-dat-duong-cam-nam-12-phuong-hoa-xuan/chinh-chu-ban-12-gia-chi-hon-4-ty-7-5m-le-3m-pr44078467</w:t>
            </w:r>
            <w:r>
              <w:rPr>
                <w:color w:val="000000" w:themeColor="text1"/>
                <w:sz w:val="22"/>
                <w:szCs w:val="22"/>
              </w:rPr>
              <w:br/>
              <w:t xml:space="preserve">0375.566670</w:t>
            </w:r>
            <w:r>
              <w:rPr>
                <w:sz w:val="22"/>
                <w:szCs w:val="22"/>
              </w:rPr>
              <w:t xml:space="preserve"> </w:t>
            </w:r>
            <w:r>
              <w:rPr>
                <w:sz w:val="22"/>
                <w:szCs w:val="22"/>
              </w:rPr>
              <w:br/>
              <w:t xml:space="preserve">(Anh Huy Hoàng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Hòa Xuân, Quận Cẩm Lệ, Tỉnh Đà Nẵng, đường Cẩm Nam 12, độ rộng đường trước mặt tài sản 7.5m, mặt tiền 5m, 15.998264300098338, 108.20938412016834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Giao lộ Chữ 'T', bị đường đâm thẳng vào 'Thế tiền đao sát'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44444" cy="317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17"/>
                              <a:stretch/>
                            </pic:blipFill>
                            <pic:spPr bwMode="auto">
                              <a:xfrm>
                                <a:off x="0" y="0"/>
                                <a:ext cx="564444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44.44pt;height:250.00pt;mso-wrap-distance-left:0.00pt;mso-wrap-distance-top:0.00pt;mso-wrap-distance-right:0.00pt;mso-wrap-distance-bottom:0.00pt;z-index:1;" stroked="false">
                      <v:imagedata r:id="rId1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1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87.50pt;height:250.00pt;mso-wrap-distance-left:0.00pt;mso-wrap-distance-top:0.00pt;mso-wrap-distance-right:0.00pt;mso-wrap-distance-bottom:0.00pt;z-index:1;" stroked="false">
                      <v:imagedata r:id="rId1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jc w:val="center"/>
          <w:trHeight w:val="29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t xml:space="preserve">Lê Thị Thịnh</w:t>
            </w:r>
            <w:r/>
          </w:p>
          <w:p>
            <w:pPr>
              <w:pBdr/>
              <w:spacing/>
              <w:ind/>
              <w:jc w:val="center"/>
              <w:rPr/>
            </w:pPr>
            <w:r/>
            <w:r/>
          </w:p>
        </w:tc>
      </w:tr>
    </w:tbl>
    <w:p>
      <w:pPr>
        <w:pBdr/>
        <w:spacing/>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https://batdongsan.com.vn/ban-dat-duong-cam-nam-12-phuong-hoa-xuan/ban-7-5m-12-gan-cong-vien-pr44239454</w:t>
            </w:r>
            <w:r>
              <w:rPr>
                <w:color w:val="000000" w:themeColor="text1"/>
                <w:sz w:val="22"/>
                <w:szCs w:val="22"/>
              </w:rPr>
              <w:br/>
              <w:t xml:space="preserve">0788.637979</w:t>
            </w:r>
            <w:r>
              <w:rPr>
                <w:sz w:val="22"/>
                <w:szCs w:val="22"/>
              </w:rPr>
              <w:t xml:space="preserve"> </w:t>
            </w:r>
            <w:r>
              <w:rPr>
                <w:sz w:val="22"/>
                <w:szCs w:val="22"/>
              </w:rPr>
              <w:br/>
              <w:t xml:space="preserve">(Anh Hoàng Duy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4.802.000.000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Hòa Xuân, Quận Cẩm Lệ, Tỉnh Đà Nẵng, đường Cẩm Nam 12, độ rộng đường trước mặt tài sản 7.5m, mặt tiền 5m, 15.998225750959215, 108.20896033075758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44444" cy="317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19"/>
                              <a:stretch/>
                            </pic:blipFill>
                            <pic:spPr bwMode="auto">
                              <a:xfrm>
                                <a:off x="0" y="0"/>
                                <a:ext cx="564444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444.44pt;height:250.00pt;mso-wrap-distance-left:0.00pt;mso-wrap-distance-top:0.00pt;mso-wrap-distance-right:0.00pt;mso-wrap-distance-bottom:0.00pt;z-index:1;" stroked="false">
                      <v:imagedata r:id="rId1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20"/>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87.50pt;height:250.00pt;mso-wrap-distance-left:0.00pt;mso-wrap-distance-top:0.00pt;mso-wrap-distance-right:0.00pt;mso-wrap-distance-bottom:0.00pt;z-index:1;" stroked="false">
                      <v:imagedata r:id="rId2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t xml:space="preserve">Lê Thị Thịnh</w:t>
            </w:r>
            <w:r/>
          </w:p>
        </w:tc>
      </w:tr>
      <w:tr>
        <w:trPr>
          <w:trHeight w:val="298"/>
        </w:trPr>
        <w:tc>
          <w:tcPr>
            <w:tcBorders/>
            <w:tcW w:w="4358" w:type="dxa"/>
            <w:vAlign w:val="bottom"/>
            <w:textDirection w:val="lrTb"/>
            <w:noWrap w:val="false"/>
          </w:tcPr>
          <w:p>
            <w:pPr>
              <w:pBdr/>
              <w:spacing/>
              <w:ind/>
              <w:rPr>
                <w:b/>
                <w:bCs/>
              </w:rPr>
            </w:pPr>
            <w:r>
              <w:rPr>
                <w:b/>
                <w:bCs/>
              </w:rPr>
            </w:r>
            <w:r>
              <w:rPr>
                <w:b/>
                <w:bCs/>
              </w:rPr>
            </w:r>
            <w:r>
              <w:rPr>
                <w:b/>
                <w:bCs/>
              </w:rPr>
            </w:r>
          </w:p>
        </w:tc>
        <w:tc>
          <w:tcPr>
            <w:tcBorders/>
            <w:tcW w:w="4701" w:type="dxa"/>
            <w:vAlign w:val="center"/>
            <w:textDirection w:val="lrTb"/>
            <w:noWrap/>
          </w:tcPr>
          <w:p>
            <w:pPr>
              <w:pBdr/>
              <w:spacing/>
              <w:ind/>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https://batdongsan.com.vn/ban-dat-duong-cam-nam-10-phuong-hoa-xuan/ban-lo-10-da-nang-7-5m-pr44622510</w:t>
            </w:r>
            <w:r>
              <w:rPr>
                <w:color w:val="000000" w:themeColor="text1"/>
                <w:sz w:val="22"/>
                <w:szCs w:val="22"/>
              </w:rPr>
              <w:br/>
            </w:r>
            <w:r>
              <w:rPr>
                <w:sz w:val="22"/>
                <w:szCs w:val="22"/>
              </w:rPr>
              <w:t xml:space="preserve">SĐT: </w:t>
            </w:r>
            <w:r>
              <w:rPr>
                <w:color w:val="000000" w:themeColor="text1"/>
                <w:sz w:val="22"/>
                <w:szCs w:val="22"/>
              </w:rPr>
              <w:t xml:space="preserve">0934.728383</w:t>
            </w:r>
            <w:r>
              <w:rPr>
                <w:sz w:val="22"/>
                <w:szCs w:val="22"/>
              </w:rPr>
              <w:t xml:space="preserve"> </w:t>
            </w:r>
            <w:r>
              <w:rPr>
                <w:sz w:val="22"/>
                <w:szCs w:val="22"/>
              </w:rPr>
              <w:br/>
              <w:t xml:space="preserve">(Chị Nhung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4.512.500.000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Hòa Xuân, Quận Cẩm Lệ, Tỉnh Đà Nẵng, đường Cẩm Nam 10, độ rộng đường trước mặt tài sản 7.5m, mặt tiền 5m, 15.99890217911433, 108.20976395248888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7495"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21"/>
                              <a:stretch/>
                            </pic:blipFill>
                            <pic:spPr bwMode="auto">
                              <a:xfrm>
                                <a:off x="0" y="0"/>
                                <a:ext cx="146749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15.55pt;height:250.00pt;mso-wrap-distance-left:0.00pt;mso-wrap-distance-top:0.00pt;mso-wrap-distance-right:0.00pt;mso-wrap-distance-bottom:0.00pt;z-index:1;" stroked="false">
                      <v:imagedata r:id="rId2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22"/>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87.50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t xml:space="preserve">Lê Thị Thịnh</w:t>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6">
    <w:name w:val="Table Grid Light"/>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1"/>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2"/>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3"/>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4"/>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5"/>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w:basedOn w:val="100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w:basedOn w:val="100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1"/>
    <w:basedOn w:val="100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2"/>
    <w:basedOn w:val="100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3"/>
    <w:basedOn w:val="100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4"/>
    <w:basedOn w:val="100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5"/>
    <w:basedOn w:val="100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6"/>
    <w:basedOn w:val="100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Accent 1"/>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 Accent 2"/>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3"/>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4"/>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5"/>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6"/>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8">
    <w:name w:val="Grid Table 6 Colorful - Accent 1"/>
    <w:basedOn w:val="100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9">
    <w:name w:val="Grid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0">
    <w:name w:val="Grid Table 6 Colorful - Accent 3"/>
    <w:basedOn w:val="100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1">
    <w:name w:val="Grid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2">
    <w:name w:val="Grid Table 6 Colorful - Accent 5"/>
    <w:basedOn w:val="100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3">
    <w:name w:val="Grid Table 6 Colorful - Accent 6"/>
    <w:basedOn w:val="100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7 Colorful"/>
    <w:basedOn w:val="100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1"/>
    <w:basedOn w:val="100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5"/>
    <w:basedOn w:val="100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6"/>
    <w:basedOn w:val="100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1"/>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2"/>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3"/>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4"/>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5"/>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6"/>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w:basedOn w:val="100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1"/>
    <w:basedOn w:val="100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2"/>
    <w:basedOn w:val="100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3"/>
    <w:basedOn w:val="100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4"/>
    <w:basedOn w:val="100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5"/>
    <w:basedOn w:val="100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6"/>
    <w:basedOn w:val="100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1"/>
    <w:basedOn w:val="100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3"/>
    <w:basedOn w:val="100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5"/>
    <w:basedOn w:val="100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6"/>
    <w:basedOn w:val="100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1"/>
    <w:basedOn w:val="100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2"/>
    <w:basedOn w:val="100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3"/>
    <w:basedOn w:val="100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4"/>
    <w:basedOn w:val="100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5"/>
    <w:basedOn w:val="100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6"/>
    <w:basedOn w:val="100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5 Dark"/>
    <w:basedOn w:val="100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1"/>
    <w:basedOn w:val="100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2"/>
    <w:basedOn w:val="100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3"/>
    <w:basedOn w:val="100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4"/>
    <w:basedOn w:val="100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5"/>
    <w:basedOn w:val="100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6"/>
    <w:basedOn w:val="100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1"/>
    <w:basedOn w:val="100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3"/>
    <w:basedOn w:val="100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5"/>
    <w:basedOn w:val="100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6"/>
    <w:basedOn w:val="100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7 Colorful"/>
    <w:basedOn w:val="100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4">
    <w:name w:val="List Table 7 Colorful - Accent 1"/>
    <w:basedOn w:val="100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5">
    <w:name w:val="List Table 7 Colorful - Accent 2"/>
    <w:basedOn w:val="100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936">
    <w:name w:val="List Table 7 Colorful - Accent 3"/>
    <w:basedOn w:val="100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9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937">
    <w:name w:val="List Table 7 Colorful - Accent 4"/>
    <w:basedOn w:val="100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938">
    <w:name w:val="List Table 7 Colorful - Accent 5"/>
    <w:basedOn w:val="100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939">
    <w:name w:val="List Table 7 Colorful - Accent 6"/>
    <w:basedOn w:val="100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8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table" w:styleId="940">
    <w:name w:val="Lined - Accent"/>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1"/>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2"/>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3"/>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4"/>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5"/>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6"/>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w:basedOn w:val="100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1"/>
    <w:basedOn w:val="100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2"/>
    <w:basedOn w:val="100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3"/>
    <w:basedOn w:val="100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4"/>
    <w:basedOn w:val="100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5"/>
    <w:basedOn w:val="100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6"/>
    <w:basedOn w:val="100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w:basedOn w:val="100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1">
    <w:name w:val="Heading 5"/>
    <w:basedOn w:val="1002"/>
    <w:next w:val="1002"/>
    <w:link w:val="96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2">
    <w:name w:val="Heading 6"/>
    <w:basedOn w:val="1002"/>
    <w:next w:val="1002"/>
    <w:link w:val="96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3">
    <w:name w:val="Heading 7"/>
    <w:basedOn w:val="1002"/>
    <w:next w:val="1002"/>
    <w:link w:val="96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4">
    <w:name w:val="Heading 8"/>
    <w:basedOn w:val="1002"/>
    <w:next w:val="1002"/>
    <w:link w:val="96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5">
    <w:name w:val="Heading 9"/>
    <w:basedOn w:val="1002"/>
    <w:next w:val="1002"/>
    <w:link w:val="97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6">
    <w:name w:val="Heading 5 Char"/>
    <w:basedOn w:val="1007"/>
    <w:link w:val="961"/>
    <w:uiPriority w:val="9"/>
    <w:pPr>
      <w:pBdr/>
      <w:spacing/>
      <w:ind/>
    </w:pPr>
    <w:rPr>
      <w:rFonts w:ascii="Arial" w:hAnsi="Arial" w:eastAsia="Arial" w:cs="Arial"/>
      <w:color w:val="0f4761" w:themeColor="accent1" w:themeShade="BF"/>
    </w:rPr>
  </w:style>
  <w:style w:type="character" w:styleId="967">
    <w:name w:val="Heading 6 Char"/>
    <w:basedOn w:val="1007"/>
    <w:link w:val="962"/>
    <w:uiPriority w:val="9"/>
    <w:pPr>
      <w:pBdr/>
      <w:spacing/>
      <w:ind/>
    </w:pPr>
    <w:rPr>
      <w:rFonts w:ascii="Arial" w:hAnsi="Arial" w:eastAsia="Arial" w:cs="Arial"/>
      <w:i/>
      <w:iCs/>
      <w:color w:val="595959" w:themeColor="text1" w:themeTint="A6"/>
    </w:rPr>
  </w:style>
  <w:style w:type="character" w:styleId="968">
    <w:name w:val="Heading 7 Char"/>
    <w:basedOn w:val="1007"/>
    <w:link w:val="963"/>
    <w:uiPriority w:val="9"/>
    <w:pPr>
      <w:pBdr/>
      <w:spacing/>
      <w:ind/>
    </w:pPr>
    <w:rPr>
      <w:rFonts w:ascii="Arial" w:hAnsi="Arial" w:eastAsia="Arial" w:cs="Arial"/>
      <w:color w:val="595959" w:themeColor="text1" w:themeTint="A6"/>
    </w:rPr>
  </w:style>
  <w:style w:type="character" w:styleId="969">
    <w:name w:val="Heading 8 Char"/>
    <w:basedOn w:val="1007"/>
    <w:link w:val="964"/>
    <w:uiPriority w:val="9"/>
    <w:pPr>
      <w:pBdr/>
      <w:spacing/>
      <w:ind/>
    </w:pPr>
    <w:rPr>
      <w:rFonts w:ascii="Arial" w:hAnsi="Arial" w:eastAsia="Arial" w:cs="Arial"/>
      <w:i/>
      <w:iCs/>
      <w:color w:val="272727" w:themeColor="text1" w:themeTint="D8"/>
    </w:rPr>
  </w:style>
  <w:style w:type="character" w:styleId="970">
    <w:name w:val="Heading 9 Char"/>
    <w:basedOn w:val="1007"/>
    <w:link w:val="965"/>
    <w:uiPriority w:val="9"/>
    <w:pPr>
      <w:pBdr/>
      <w:spacing/>
      <w:ind/>
    </w:pPr>
    <w:rPr>
      <w:rFonts w:ascii="Arial" w:hAnsi="Arial" w:eastAsia="Arial" w:cs="Arial"/>
      <w:i/>
      <w:iCs/>
      <w:color w:val="272727" w:themeColor="text1" w:themeTint="D8"/>
    </w:rPr>
  </w:style>
  <w:style w:type="paragraph" w:styleId="971">
    <w:name w:val="Subtitle"/>
    <w:basedOn w:val="1002"/>
    <w:next w:val="1002"/>
    <w:link w:val="972"/>
    <w:uiPriority w:val="11"/>
    <w:qFormat/>
    <w:pPr>
      <w:numPr>
        <w:ilvl w:val="1"/>
      </w:numPr>
      <w:pBdr/>
      <w:spacing/>
      <w:ind/>
    </w:pPr>
    <w:rPr>
      <w:color w:val="595959" w:themeColor="text1" w:themeTint="A6"/>
      <w:spacing w:val="15"/>
      <w:sz w:val="28"/>
      <w:szCs w:val="28"/>
    </w:rPr>
  </w:style>
  <w:style w:type="character" w:styleId="972">
    <w:name w:val="Subtitle Char"/>
    <w:basedOn w:val="1007"/>
    <w:link w:val="971"/>
    <w:uiPriority w:val="11"/>
    <w:pPr>
      <w:pBdr/>
      <w:spacing/>
      <w:ind/>
    </w:pPr>
    <w:rPr>
      <w:color w:val="595959" w:themeColor="text1" w:themeTint="A6"/>
      <w:spacing w:val="15"/>
      <w:sz w:val="28"/>
      <w:szCs w:val="28"/>
    </w:rPr>
  </w:style>
  <w:style w:type="paragraph" w:styleId="973">
    <w:name w:val="Quote"/>
    <w:basedOn w:val="1002"/>
    <w:next w:val="1002"/>
    <w:link w:val="974"/>
    <w:uiPriority w:val="29"/>
    <w:qFormat/>
    <w:pPr>
      <w:pBdr/>
      <w:spacing w:before="160"/>
      <w:ind/>
      <w:jc w:val="center"/>
    </w:pPr>
    <w:rPr>
      <w:i/>
      <w:iCs/>
      <w:color w:val="404040" w:themeColor="text1" w:themeTint="BF"/>
    </w:rPr>
  </w:style>
  <w:style w:type="character" w:styleId="974">
    <w:name w:val="Quote Char"/>
    <w:basedOn w:val="1007"/>
    <w:link w:val="973"/>
    <w:uiPriority w:val="29"/>
    <w:pPr>
      <w:pBdr/>
      <w:spacing/>
      <w:ind/>
    </w:pPr>
    <w:rPr>
      <w:i/>
      <w:iCs/>
      <w:color w:val="404040" w:themeColor="text1" w:themeTint="BF"/>
    </w:rPr>
  </w:style>
  <w:style w:type="character" w:styleId="975">
    <w:name w:val="Intense Emphasis"/>
    <w:basedOn w:val="1007"/>
    <w:uiPriority w:val="21"/>
    <w:qFormat/>
    <w:pPr>
      <w:pBdr/>
      <w:spacing/>
      <w:ind/>
    </w:pPr>
    <w:rPr>
      <w:i/>
      <w:iCs/>
      <w:color w:val="0f4761" w:themeColor="accent1" w:themeShade="BF"/>
    </w:rPr>
  </w:style>
  <w:style w:type="paragraph" w:styleId="976">
    <w:name w:val="Intense Quote"/>
    <w:basedOn w:val="1002"/>
    <w:next w:val="1002"/>
    <w:link w:val="97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7">
    <w:name w:val="Intense Quote Char"/>
    <w:basedOn w:val="1007"/>
    <w:link w:val="976"/>
    <w:uiPriority w:val="30"/>
    <w:pPr>
      <w:pBdr/>
      <w:spacing/>
      <w:ind/>
    </w:pPr>
    <w:rPr>
      <w:i/>
      <w:iCs/>
      <w:color w:val="0f4761" w:themeColor="accent1" w:themeShade="BF"/>
    </w:rPr>
  </w:style>
  <w:style w:type="character" w:styleId="978">
    <w:name w:val="Intense Reference"/>
    <w:basedOn w:val="1007"/>
    <w:uiPriority w:val="32"/>
    <w:qFormat/>
    <w:pPr>
      <w:pBdr/>
      <w:spacing/>
      <w:ind/>
    </w:pPr>
    <w:rPr>
      <w:b/>
      <w:bCs/>
      <w:smallCaps/>
      <w:color w:val="0f4761" w:themeColor="accent1" w:themeShade="BF"/>
      <w:spacing w:val="5"/>
    </w:rPr>
  </w:style>
  <w:style w:type="paragraph" w:styleId="979">
    <w:name w:val="No Spacing"/>
    <w:basedOn w:val="1002"/>
    <w:uiPriority w:val="1"/>
    <w:qFormat/>
    <w:pPr>
      <w:pBdr/>
      <w:spacing w:after="0" w:line="240" w:lineRule="auto"/>
      <w:ind/>
    </w:pPr>
  </w:style>
  <w:style w:type="character" w:styleId="980">
    <w:name w:val="Subtle Emphasis"/>
    <w:basedOn w:val="1007"/>
    <w:uiPriority w:val="19"/>
    <w:qFormat/>
    <w:pPr>
      <w:pBdr/>
      <w:spacing/>
      <w:ind/>
    </w:pPr>
    <w:rPr>
      <w:i/>
      <w:iCs/>
      <w:color w:val="404040" w:themeColor="text1" w:themeTint="BF"/>
    </w:rPr>
  </w:style>
  <w:style w:type="character" w:styleId="981">
    <w:name w:val="Subtle Reference"/>
    <w:basedOn w:val="1007"/>
    <w:uiPriority w:val="31"/>
    <w:qFormat/>
    <w:pPr>
      <w:pBdr/>
      <w:spacing/>
      <w:ind/>
    </w:pPr>
    <w:rPr>
      <w:smallCaps/>
      <w:color w:val="5a5a5a" w:themeColor="text1" w:themeTint="A5"/>
    </w:rPr>
  </w:style>
  <w:style w:type="character" w:styleId="982">
    <w:name w:val="Book Title"/>
    <w:basedOn w:val="1007"/>
    <w:uiPriority w:val="33"/>
    <w:qFormat/>
    <w:pPr>
      <w:pBdr/>
      <w:spacing/>
      <w:ind/>
    </w:pPr>
    <w:rPr>
      <w:b/>
      <w:bCs/>
      <w:i/>
      <w:iCs/>
      <w:spacing w:val="5"/>
    </w:rPr>
  </w:style>
  <w:style w:type="paragraph" w:styleId="983">
    <w:name w:val="Caption"/>
    <w:basedOn w:val="1002"/>
    <w:next w:val="1002"/>
    <w:uiPriority w:val="35"/>
    <w:unhideWhenUsed/>
    <w:qFormat/>
    <w:pPr>
      <w:pBdr/>
      <w:spacing w:after="200" w:line="240" w:lineRule="auto"/>
      <w:ind/>
    </w:pPr>
    <w:rPr>
      <w:i/>
      <w:iCs/>
      <w:color w:val="0e2841" w:themeColor="text2"/>
      <w:sz w:val="18"/>
      <w:szCs w:val="18"/>
    </w:rPr>
  </w:style>
  <w:style w:type="paragraph" w:styleId="984">
    <w:name w:val="footnote text"/>
    <w:basedOn w:val="1002"/>
    <w:link w:val="985"/>
    <w:uiPriority w:val="99"/>
    <w:semiHidden/>
    <w:unhideWhenUsed/>
    <w:pPr>
      <w:pBdr/>
      <w:spacing w:after="0" w:line="240" w:lineRule="auto"/>
      <w:ind/>
    </w:pPr>
    <w:rPr>
      <w:sz w:val="20"/>
      <w:szCs w:val="20"/>
    </w:rPr>
  </w:style>
  <w:style w:type="character" w:styleId="985">
    <w:name w:val="Footnote Text Char"/>
    <w:basedOn w:val="1007"/>
    <w:link w:val="984"/>
    <w:uiPriority w:val="99"/>
    <w:semiHidden/>
    <w:pPr>
      <w:pBdr/>
      <w:spacing/>
      <w:ind/>
    </w:pPr>
    <w:rPr>
      <w:sz w:val="20"/>
      <w:szCs w:val="20"/>
    </w:rPr>
  </w:style>
  <w:style w:type="character" w:styleId="986">
    <w:name w:val="footnote reference"/>
    <w:basedOn w:val="1007"/>
    <w:uiPriority w:val="99"/>
    <w:semiHidden/>
    <w:unhideWhenUsed/>
    <w:pPr>
      <w:pBdr/>
      <w:spacing/>
      <w:ind/>
    </w:pPr>
    <w:rPr>
      <w:vertAlign w:val="superscript"/>
    </w:rPr>
  </w:style>
  <w:style w:type="paragraph" w:styleId="987">
    <w:name w:val="endnote text"/>
    <w:basedOn w:val="1002"/>
    <w:link w:val="988"/>
    <w:uiPriority w:val="99"/>
    <w:semiHidden/>
    <w:unhideWhenUsed/>
    <w:pPr>
      <w:pBdr/>
      <w:spacing w:after="0" w:line="240" w:lineRule="auto"/>
      <w:ind/>
    </w:pPr>
    <w:rPr>
      <w:sz w:val="20"/>
      <w:szCs w:val="20"/>
    </w:rPr>
  </w:style>
  <w:style w:type="character" w:styleId="988">
    <w:name w:val="Endnote Text Char"/>
    <w:basedOn w:val="1007"/>
    <w:link w:val="987"/>
    <w:uiPriority w:val="99"/>
    <w:semiHidden/>
    <w:pPr>
      <w:pBdr/>
      <w:spacing/>
      <w:ind/>
    </w:pPr>
    <w:rPr>
      <w:sz w:val="20"/>
      <w:szCs w:val="20"/>
    </w:rPr>
  </w:style>
  <w:style w:type="character" w:styleId="989">
    <w:name w:val="endnote reference"/>
    <w:basedOn w:val="1007"/>
    <w:uiPriority w:val="99"/>
    <w:semiHidden/>
    <w:unhideWhenUsed/>
    <w:pPr>
      <w:pBdr/>
      <w:spacing/>
      <w:ind/>
    </w:pPr>
    <w:rPr>
      <w:vertAlign w:val="superscript"/>
    </w:rPr>
  </w:style>
  <w:style w:type="paragraph" w:styleId="990">
    <w:name w:val="toc 1"/>
    <w:basedOn w:val="1002"/>
    <w:next w:val="1002"/>
    <w:uiPriority w:val="39"/>
    <w:unhideWhenUsed/>
    <w:pPr>
      <w:pBdr/>
      <w:spacing w:after="100"/>
      <w:ind/>
    </w:pPr>
  </w:style>
  <w:style w:type="paragraph" w:styleId="991">
    <w:name w:val="toc 2"/>
    <w:basedOn w:val="1002"/>
    <w:next w:val="1002"/>
    <w:uiPriority w:val="39"/>
    <w:unhideWhenUsed/>
    <w:pPr>
      <w:pBdr/>
      <w:spacing w:after="100"/>
      <w:ind w:left="220"/>
    </w:pPr>
  </w:style>
  <w:style w:type="paragraph" w:styleId="992">
    <w:name w:val="toc 3"/>
    <w:basedOn w:val="1002"/>
    <w:next w:val="1002"/>
    <w:uiPriority w:val="39"/>
    <w:unhideWhenUsed/>
    <w:pPr>
      <w:pBdr/>
      <w:spacing w:after="100"/>
      <w:ind w:left="440"/>
    </w:pPr>
  </w:style>
  <w:style w:type="paragraph" w:styleId="993">
    <w:name w:val="toc 4"/>
    <w:basedOn w:val="1002"/>
    <w:next w:val="1002"/>
    <w:uiPriority w:val="39"/>
    <w:unhideWhenUsed/>
    <w:pPr>
      <w:pBdr/>
      <w:spacing w:after="100"/>
      <w:ind w:left="660"/>
    </w:pPr>
  </w:style>
  <w:style w:type="paragraph" w:styleId="994">
    <w:name w:val="toc 5"/>
    <w:basedOn w:val="1002"/>
    <w:next w:val="1002"/>
    <w:uiPriority w:val="39"/>
    <w:unhideWhenUsed/>
    <w:pPr>
      <w:pBdr/>
      <w:spacing w:after="100"/>
      <w:ind w:left="880"/>
    </w:pPr>
  </w:style>
  <w:style w:type="paragraph" w:styleId="995">
    <w:name w:val="toc 6"/>
    <w:basedOn w:val="1002"/>
    <w:next w:val="1002"/>
    <w:uiPriority w:val="39"/>
    <w:unhideWhenUsed/>
    <w:pPr>
      <w:pBdr/>
      <w:spacing w:after="100"/>
      <w:ind w:left="1100"/>
    </w:pPr>
  </w:style>
  <w:style w:type="paragraph" w:styleId="996">
    <w:name w:val="toc 7"/>
    <w:basedOn w:val="1002"/>
    <w:next w:val="1002"/>
    <w:uiPriority w:val="39"/>
    <w:unhideWhenUsed/>
    <w:pPr>
      <w:pBdr/>
      <w:spacing w:after="100"/>
      <w:ind w:left="1320"/>
    </w:pPr>
  </w:style>
  <w:style w:type="paragraph" w:styleId="997">
    <w:name w:val="toc 8"/>
    <w:basedOn w:val="1002"/>
    <w:next w:val="1002"/>
    <w:uiPriority w:val="39"/>
    <w:unhideWhenUsed/>
    <w:pPr>
      <w:pBdr/>
      <w:spacing w:after="100"/>
      <w:ind w:left="1540"/>
    </w:pPr>
  </w:style>
  <w:style w:type="paragraph" w:styleId="998">
    <w:name w:val="toc 9"/>
    <w:basedOn w:val="1002"/>
    <w:next w:val="1002"/>
    <w:uiPriority w:val="39"/>
    <w:unhideWhenUsed/>
    <w:pPr>
      <w:pBdr/>
      <w:spacing w:after="100"/>
      <w:ind w:left="1760"/>
    </w:pPr>
  </w:style>
  <w:style w:type="character" w:styleId="999">
    <w:name w:val="Placeholder Text"/>
    <w:basedOn w:val="1007"/>
    <w:uiPriority w:val="99"/>
    <w:semiHidden/>
    <w:pPr>
      <w:pBdr/>
      <w:spacing/>
      <w:ind/>
    </w:pPr>
    <w:rPr>
      <w:color w:val="666666"/>
    </w:rPr>
  </w:style>
  <w:style w:type="paragraph" w:styleId="1000">
    <w:name w:val="TOC Heading"/>
    <w:uiPriority w:val="39"/>
    <w:unhideWhenUsed/>
    <w:pPr>
      <w:pBdr/>
      <w:spacing/>
      <w:ind/>
    </w:pPr>
  </w:style>
  <w:style w:type="paragraph" w:styleId="1001">
    <w:name w:val="table of figures"/>
    <w:basedOn w:val="1002"/>
    <w:next w:val="1002"/>
    <w:uiPriority w:val="99"/>
    <w:unhideWhenUsed/>
    <w:pPr>
      <w:pBdr/>
      <w:spacing w:after="0" w:afterAutospacing="0"/>
      <w:ind/>
    </w:pPr>
  </w:style>
  <w:style w:type="paragraph" w:styleId="1002" w:default="1">
    <w:name w:val="Normal"/>
    <w:qFormat/>
    <w:pPr>
      <w:pBdr/>
      <w:spacing w:after="0" w:line="240" w:lineRule="auto"/>
      <w:ind/>
    </w:pPr>
    <w:rPr>
      <w:rFonts w:ascii="Times New Roman" w:hAnsi="Times New Roman" w:eastAsia="Times New Roman" w:cs="Times New Roman"/>
      <w:sz w:val="24"/>
      <w:szCs w:val="24"/>
    </w:rPr>
  </w:style>
  <w:style w:type="paragraph" w:styleId="1003">
    <w:name w:val="Heading 1"/>
    <w:basedOn w:val="1002"/>
    <w:next w:val="1002"/>
    <w:link w:val="1010"/>
    <w:qFormat/>
    <w:pPr>
      <w:keepNext w:val="true"/>
      <w:pBdr/>
      <w:spacing w:after="120" w:before="120"/>
      <w:ind/>
      <w:jc w:val="center"/>
      <w:outlineLvl w:val="0"/>
    </w:pPr>
    <w:rPr>
      <w:b/>
      <w:bCs/>
      <w:sz w:val="27"/>
      <w:szCs w:val="27"/>
    </w:rPr>
  </w:style>
  <w:style w:type="paragraph" w:styleId="1004">
    <w:name w:val="Heading 2"/>
    <w:basedOn w:val="1002"/>
    <w:next w:val="1002"/>
    <w:link w:val="101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5">
    <w:name w:val="Heading 3"/>
    <w:basedOn w:val="1002"/>
    <w:next w:val="1002"/>
    <w:link w:val="1012"/>
    <w:qFormat/>
    <w:pPr>
      <w:keepNext w:val="true"/>
      <w:pBdr/>
      <w:spacing w:before="60"/>
      <w:ind/>
      <w:outlineLvl w:val="2"/>
    </w:pPr>
    <w:rPr>
      <w:sz w:val="28"/>
      <w:szCs w:val="28"/>
    </w:rPr>
  </w:style>
  <w:style w:type="paragraph" w:styleId="1006">
    <w:name w:val="Heading 4"/>
    <w:basedOn w:val="1002"/>
    <w:next w:val="1002"/>
    <w:link w:val="1013"/>
    <w:qFormat/>
    <w:pPr>
      <w:keepNext w:val="true"/>
      <w:pBdr/>
      <w:spacing/>
      <w:ind/>
      <w:jc w:val="center"/>
      <w:outlineLvl w:val="3"/>
    </w:pPr>
    <w:rPr>
      <w:b/>
      <w:bCs/>
    </w:rPr>
  </w:style>
  <w:style w:type="character" w:styleId="1007" w:default="1">
    <w:name w:val="Default Paragraph Font"/>
    <w:uiPriority w:val="1"/>
    <w:semiHidden/>
    <w:unhideWhenUsed/>
    <w:pPr>
      <w:pBdr/>
      <w:spacing/>
      <w:ind/>
    </w:pPr>
  </w:style>
  <w:style w:type="table" w:styleId="100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9" w:default="1">
    <w:name w:val="No List"/>
    <w:uiPriority w:val="99"/>
    <w:semiHidden/>
    <w:unhideWhenUsed/>
    <w:pPr>
      <w:pBdr/>
      <w:spacing/>
      <w:ind/>
    </w:pPr>
  </w:style>
  <w:style w:type="character" w:styleId="1010" w:customStyle="1">
    <w:name w:val="Heading 1 Char"/>
    <w:basedOn w:val="1007"/>
    <w:link w:val="1003"/>
    <w:pPr>
      <w:pBdr/>
      <w:spacing/>
      <w:ind/>
    </w:pPr>
    <w:rPr>
      <w:rFonts w:ascii="Times New Roman" w:hAnsi="Times New Roman" w:eastAsia="Times New Roman" w:cs="Times New Roman"/>
      <w:b/>
      <w:bCs/>
      <w:sz w:val="27"/>
      <w:szCs w:val="27"/>
    </w:rPr>
  </w:style>
  <w:style w:type="character" w:styleId="1011" w:customStyle="1">
    <w:name w:val="Heading 2 Char"/>
    <w:basedOn w:val="1007"/>
    <w:link w:val="1004"/>
    <w:uiPriority w:val="9"/>
    <w:pPr>
      <w:pBdr/>
      <w:spacing/>
      <w:ind/>
    </w:pPr>
    <w:rPr>
      <w:rFonts w:asciiTheme="majorHAnsi" w:hAnsiTheme="majorHAnsi" w:eastAsiaTheme="majorEastAsia" w:cstheme="majorBidi"/>
      <w:color w:val="365f91" w:themeColor="accent1" w:themeShade="BF"/>
      <w:sz w:val="26"/>
      <w:szCs w:val="26"/>
    </w:rPr>
  </w:style>
  <w:style w:type="character" w:styleId="1012" w:customStyle="1">
    <w:name w:val="Heading 3 Char"/>
    <w:basedOn w:val="1007"/>
    <w:link w:val="1005"/>
    <w:pPr>
      <w:pBdr/>
      <w:spacing/>
      <w:ind/>
    </w:pPr>
    <w:rPr>
      <w:rFonts w:ascii="Times New Roman" w:hAnsi="Times New Roman" w:eastAsia="Times New Roman" w:cs="Times New Roman"/>
      <w:sz w:val="28"/>
      <w:szCs w:val="28"/>
    </w:rPr>
  </w:style>
  <w:style w:type="character" w:styleId="1013" w:customStyle="1">
    <w:name w:val="Heading 4 Char"/>
    <w:basedOn w:val="1007"/>
    <w:link w:val="1006"/>
    <w:pPr>
      <w:pBdr/>
      <w:spacing/>
      <w:ind/>
    </w:pPr>
    <w:rPr>
      <w:rFonts w:ascii="Times New Roman" w:hAnsi="Times New Roman" w:eastAsia="Times New Roman" w:cs="Times New Roman"/>
      <w:b/>
      <w:bCs/>
      <w:sz w:val="24"/>
      <w:szCs w:val="24"/>
    </w:rPr>
  </w:style>
  <w:style w:type="character" w:styleId="1014">
    <w:name w:val="Hyperlink"/>
    <w:uiPriority w:val="99"/>
    <w:pPr>
      <w:pBdr/>
      <w:spacing/>
      <w:ind/>
    </w:pPr>
    <w:rPr>
      <w:color w:val="000000"/>
      <w:u w:val="single"/>
    </w:rPr>
  </w:style>
  <w:style w:type="character" w:styleId="1015">
    <w:name w:val="Strong"/>
    <w:uiPriority w:val="22"/>
    <w:qFormat/>
    <w:pPr>
      <w:pBdr/>
      <w:spacing/>
      <w:ind/>
    </w:pPr>
    <w:rPr>
      <w:b/>
      <w:bCs/>
    </w:rPr>
  </w:style>
  <w:style w:type="paragraph" w:styleId="1016">
    <w:name w:val="Balloon Text"/>
    <w:basedOn w:val="1002"/>
    <w:link w:val="1017"/>
    <w:uiPriority w:val="99"/>
    <w:semiHidden/>
    <w:unhideWhenUsed/>
    <w:pPr>
      <w:pBdr/>
      <w:spacing/>
      <w:ind/>
    </w:pPr>
    <w:rPr>
      <w:rFonts w:ascii="Tahoma" w:hAnsi="Tahoma" w:cs="Tahoma"/>
      <w:sz w:val="16"/>
      <w:szCs w:val="16"/>
    </w:rPr>
  </w:style>
  <w:style w:type="character" w:styleId="1017" w:customStyle="1">
    <w:name w:val="Balloon Text Char"/>
    <w:basedOn w:val="1007"/>
    <w:link w:val="1016"/>
    <w:uiPriority w:val="99"/>
    <w:semiHidden/>
    <w:pPr>
      <w:pBdr/>
      <w:spacing/>
      <w:ind/>
    </w:pPr>
    <w:rPr>
      <w:rFonts w:ascii="Tahoma" w:hAnsi="Tahoma" w:eastAsia="Times New Roman" w:cs="Tahoma"/>
      <w:sz w:val="16"/>
      <w:szCs w:val="16"/>
    </w:rPr>
  </w:style>
  <w:style w:type="paragraph" w:styleId="1018">
    <w:name w:val="Header"/>
    <w:basedOn w:val="1002"/>
    <w:link w:val="1019"/>
    <w:unhideWhenUsed/>
    <w:pPr>
      <w:pBdr/>
      <w:tabs>
        <w:tab w:val="center" w:leader="none" w:pos="4680"/>
        <w:tab w:val="right" w:leader="none" w:pos="9360"/>
      </w:tabs>
      <w:spacing/>
      <w:ind/>
    </w:pPr>
  </w:style>
  <w:style w:type="character" w:styleId="1019" w:customStyle="1">
    <w:name w:val="Header Char"/>
    <w:basedOn w:val="1007"/>
    <w:link w:val="1018"/>
    <w:pPr>
      <w:pBdr/>
      <w:spacing/>
      <w:ind/>
    </w:pPr>
    <w:rPr>
      <w:rFonts w:ascii="Times New Roman" w:hAnsi="Times New Roman" w:eastAsia="Times New Roman" w:cs="Times New Roman"/>
      <w:sz w:val="24"/>
      <w:szCs w:val="24"/>
    </w:rPr>
  </w:style>
  <w:style w:type="paragraph" w:styleId="1020">
    <w:name w:val="Footer"/>
    <w:basedOn w:val="1002"/>
    <w:link w:val="1021"/>
    <w:uiPriority w:val="99"/>
    <w:unhideWhenUsed/>
    <w:pPr>
      <w:pBdr/>
      <w:tabs>
        <w:tab w:val="center" w:leader="none" w:pos="4680"/>
        <w:tab w:val="right" w:leader="none" w:pos="9360"/>
      </w:tabs>
      <w:spacing/>
      <w:ind/>
    </w:pPr>
  </w:style>
  <w:style w:type="character" w:styleId="1021" w:customStyle="1">
    <w:name w:val="Footer Char"/>
    <w:basedOn w:val="1007"/>
    <w:link w:val="1020"/>
    <w:uiPriority w:val="99"/>
    <w:pPr>
      <w:pBdr/>
      <w:spacing/>
      <w:ind/>
    </w:pPr>
    <w:rPr>
      <w:rFonts w:ascii="Times New Roman" w:hAnsi="Times New Roman" w:eastAsia="Times New Roman" w:cs="Times New Roman"/>
      <w:sz w:val="24"/>
      <w:szCs w:val="24"/>
    </w:rPr>
  </w:style>
  <w:style w:type="character" w:styleId="1022" w:customStyle="1">
    <w:name w:val="normal-h1"/>
    <w:pPr>
      <w:pBdr/>
      <w:spacing/>
      <w:ind/>
    </w:pPr>
    <w:rPr>
      <w:rFonts w:hint="default" w:ascii=".VnTime" w:hAnsi=".VnTime"/>
      <w:color w:val="0000ff"/>
      <w:sz w:val="24"/>
      <w:szCs w:val="24"/>
    </w:rPr>
  </w:style>
  <w:style w:type="paragraph" w:styleId="1023" w:customStyle="1">
    <w:name w:val="normal-p"/>
    <w:basedOn w:val="1002"/>
    <w:pPr>
      <w:pBdr/>
      <w:spacing/>
      <w:ind/>
      <w:jc w:val="both"/>
    </w:pPr>
    <w:rPr>
      <w:sz w:val="20"/>
      <w:szCs w:val="20"/>
    </w:rPr>
  </w:style>
  <w:style w:type="paragraph" w:styleId="1024">
    <w:name w:val="List Paragraph"/>
    <w:basedOn w:val="1002"/>
    <w:link w:val="1111"/>
    <w:uiPriority w:val="34"/>
    <w:qFormat/>
    <w:pPr>
      <w:pBdr/>
      <w:spacing/>
      <w:ind w:left="720"/>
    </w:pPr>
  </w:style>
  <w:style w:type="paragraph" w:styleId="1025">
    <w:name w:val="Normal (Web)"/>
    <w:basedOn w:val="1002"/>
    <w:uiPriority w:val="99"/>
    <w:pPr>
      <w:pBdr/>
      <w:spacing w:after="100" w:afterAutospacing="1" w:before="100" w:beforeAutospacing="1"/>
      <w:ind/>
    </w:pPr>
  </w:style>
  <w:style w:type="paragraph" w:styleId="1026">
    <w:name w:val="Body Text"/>
    <w:basedOn w:val="1002"/>
    <w:link w:val="1027"/>
    <w:pPr>
      <w:pBdr/>
      <w:spacing w:after="120"/>
      <w:ind/>
      <w:jc w:val="both"/>
    </w:pPr>
  </w:style>
  <w:style w:type="character" w:styleId="1027" w:customStyle="1">
    <w:name w:val="Body Text Char"/>
    <w:basedOn w:val="1007"/>
    <w:link w:val="1026"/>
    <w:pPr>
      <w:pBdr/>
      <w:spacing/>
      <w:ind/>
    </w:pPr>
    <w:rPr>
      <w:rFonts w:ascii="Times New Roman" w:hAnsi="Times New Roman" w:eastAsia="Times New Roman" w:cs="Times New Roman"/>
      <w:sz w:val="24"/>
      <w:szCs w:val="24"/>
    </w:rPr>
  </w:style>
  <w:style w:type="table" w:styleId="1028">
    <w:name w:val="Table Grid"/>
    <w:basedOn w:val="100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0">
    <w:name w:val="annotation reference"/>
    <w:basedOn w:val="1007"/>
    <w:uiPriority w:val="99"/>
    <w:semiHidden/>
    <w:unhideWhenUsed/>
    <w:pPr>
      <w:pBdr/>
      <w:spacing/>
      <w:ind/>
    </w:pPr>
    <w:rPr>
      <w:sz w:val="16"/>
      <w:szCs w:val="16"/>
    </w:rPr>
  </w:style>
  <w:style w:type="paragraph" w:styleId="1031">
    <w:name w:val="annotation text"/>
    <w:basedOn w:val="1002"/>
    <w:link w:val="1032"/>
    <w:uiPriority w:val="99"/>
    <w:unhideWhenUsed/>
    <w:pPr>
      <w:pBdr/>
      <w:spacing/>
      <w:ind/>
    </w:pPr>
    <w:rPr>
      <w:sz w:val="20"/>
      <w:szCs w:val="20"/>
    </w:rPr>
  </w:style>
  <w:style w:type="character" w:styleId="1032" w:customStyle="1">
    <w:name w:val="Comment Text Char"/>
    <w:basedOn w:val="1007"/>
    <w:link w:val="1031"/>
    <w:uiPriority w:val="99"/>
    <w:pPr>
      <w:pBdr/>
      <w:spacing/>
      <w:ind/>
    </w:pPr>
    <w:rPr>
      <w:rFonts w:ascii="Times New Roman" w:hAnsi="Times New Roman" w:eastAsia="Times New Roman" w:cs="Times New Roman"/>
      <w:sz w:val="20"/>
      <w:szCs w:val="20"/>
    </w:rPr>
  </w:style>
  <w:style w:type="paragraph" w:styleId="1033">
    <w:name w:val="annotation subject"/>
    <w:basedOn w:val="1031"/>
    <w:next w:val="1031"/>
    <w:link w:val="1034"/>
    <w:uiPriority w:val="99"/>
    <w:semiHidden/>
    <w:unhideWhenUsed/>
    <w:pPr>
      <w:pBdr/>
      <w:spacing/>
      <w:ind/>
    </w:pPr>
    <w:rPr>
      <w:b/>
      <w:bCs/>
    </w:rPr>
  </w:style>
  <w:style w:type="character" w:styleId="1034" w:customStyle="1">
    <w:name w:val="Comment Subject Char"/>
    <w:basedOn w:val="1032"/>
    <w:link w:val="1033"/>
    <w:uiPriority w:val="99"/>
    <w:semiHidden/>
    <w:pPr>
      <w:pBdr/>
      <w:spacing/>
      <w:ind/>
    </w:pPr>
    <w:rPr>
      <w:rFonts w:ascii="Times New Roman" w:hAnsi="Times New Roman" w:eastAsia="Times New Roman" w:cs="Times New Roman"/>
      <w:b/>
      <w:bCs/>
      <w:sz w:val="20"/>
      <w:szCs w:val="20"/>
    </w:rPr>
  </w:style>
  <w:style w:type="paragraph" w:styleId="1035" w:customStyle="1">
    <w:name w:val="font5"/>
    <w:basedOn w:val="1002"/>
    <w:pPr>
      <w:pBdr/>
      <w:spacing w:after="100" w:afterAutospacing="1" w:before="100" w:beforeAutospacing="1"/>
      <w:ind/>
    </w:pPr>
    <w:rPr>
      <w:rFonts w:ascii="Tahoma" w:hAnsi="Tahoma" w:cs="Tahoma"/>
      <w:color w:val="000000"/>
      <w:sz w:val="18"/>
      <w:szCs w:val="18"/>
    </w:rPr>
  </w:style>
  <w:style w:type="paragraph" w:styleId="1036" w:customStyle="1">
    <w:name w:val="font6"/>
    <w:basedOn w:val="1002"/>
    <w:pPr>
      <w:pBdr/>
      <w:spacing w:after="100" w:afterAutospacing="1" w:before="100" w:beforeAutospacing="1"/>
      <w:ind/>
    </w:pPr>
    <w:rPr>
      <w:rFonts w:ascii="Tahoma" w:hAnsi="Tahoma" w:cs="Tahoma"/>
      <w:b/>
      <w:bCs/>
      <w:color w:val="000000"/>
      <w:sz w:val="18"/>
      <w:szCs w:val="18"/>
    </w:rPr>
  </w:style>
  <w:style w:type="paragraph" w:styleId="1037" w:customStyle="1">
    <w:name w:val="xl23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34"/>
    <w:basedOn w:val="1002"/>
    <w:pPr>
      <w:pBdr/>
      <w:spacing w:after="100" w:afterAutospacing="1" w:before="100" w:beforeAutospacing="1"/>
      <w:ind/>
      <w:jc w:val="center"/>
    </w:pPr>
  </w:style>
  <w:style w:type="paragraph" w:styleId="1039" w:customStyle="1">
    <w:name w:val="xl235"/>
    <w:basedOn w:val="1002"/>
    <w:pPr>
      <w:pBdr/>
      <w:spacing w:after="100" w:afterAutospacing="1" w:before="100" w:beforeAutospacing="1"/>
      <w:ind/>
      <w:jc w:val="center"/>
    </w:pPr>
    <w:rPr>
      <w:b/>
      <w:bCs/>
    </w:rPr>
  </w:style>
  <w:style w:type="paragraph" w:styleId="1040" w:customStyle="1">
    <w:name w:val="xl236"/>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3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2" w:customStyle="1">
    <w:name w:val="xl238"/>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3" w:customStyle="1">
    <w:name w:val="xl23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4" w:customStyle="1">
    <w:name w:val="xl240"/>
    <w:basedOn w:val="1002"/>
    <w:pPr>
      <w:pBdr/>
      <w:spacing w:after="100" w:afterAutospacing="1" w:before="100" w:beforeAutospacing="1"/>
      <w:ind/>
    </w:pPr>
  </w:style>
  <w:style w:type="paragraph" w:styleId="1045" w:customStyle="1">
    <w:name w:val="xl241"/>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42"/>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43"/>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44"/>
    <w:basedOn w:val="1002"/>
    <w:pPr>
      <w:pBdr/>
      <w:spacing w:after="100" w:afterAutospacing="1" w:before="100" w:beforeAutospacing="1"/>
      <w:ind/>
    </w:pPr>
    <w:rPr>
      <w:b/>
      <w:bCs/>
    </w:rPr>
  </w:style>
  <w:style w:type="paragraph" w:styleId="1049" w:customStyle="1">
    <w:name w:val="xl245"/>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1" w:customStyle="1">
    <w:name w:val="xl247"/>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4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3" w:customStyle="1">
    <w:name w:val="xl24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5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5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5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53"/>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4"/>
    <w:basedOn w:val="100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5"/>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5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8"/>
    <w:basedOn w:val="100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4" w:customStyle="1">
    <w:name w:val="xl260"/>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1"/>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62"/>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63"/>
    <w:basedOn w:val="1002"/>
    <w:pPr>
      <w:pBdr/>
      <w:shd w:val="clear" w:color="000000" w:fill="ffffff"/>
      <w:spacing w:after="100" w:afterAutospacing="1" w:before="100" w:beforeAutospacing="1"/>
      <w:ind/>
    </w:pPr>
  </w:style>
  <w:style w:type="paragraph" w:styleId="1068" w:customStyle="1">
    <w:name w:val="xl264"/>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5"/>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6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1" w:customStyle="1">
    <w:name w:val="xl26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68"/>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9"/>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7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71"/>
    <w:basedOn w:val="100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6" w:customStyle="1">
    <w:name w:val="xl27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73"/>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74"/>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5"/>
    <w:basedOn w:val="1002"/>
    <w:pPr>
      <w:pBdr/>
      <w:spacing w:after="100" w:afterAutospacing="1" w:before="100" w:beforeAutospacing="1"/>
      <w:ind/>
    </w:pPr>
  </w:style>
  <w:style w:type="paragraph" w:styleId="1080" w:customStyle="1">
    <w:name w:val="xl27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77"/>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7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7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8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8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8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8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8" w:customStyle="1">
    <w:name w:val="xl284"/>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5"/>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7"/>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8"/>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3" w:customStyle="1">
    <w:name w:val="xl289"/>
    <w:basedOn w:val="1002"/>
    <w:pPr>
      <w:pBdr>
        <w:left w:val="single" w:color="000000" w:sz="4" w:space="0"/>
        <w:right w:val="single" w:color="000000" w:sz="4" w:space="0"/>
      </w:pBdr>
      <w:spacing w:after="100" w:afterAutospacing="1" w:before="100" w:beforeAutospacing="1"/>
      <w:ind/>
    </w:pPr>
    <w:rPr>
      <w:b/>
      <w:bCs/>
    </w:rPr>
  </w:style>
  <w:style w:type="paragraph" w:styleId="1094" w:customStyle="1">
    <w:name w:val="xl29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91"/>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92"/>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93"/>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94"/>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name w:val="Title"/>
    <w:basedOn w:val="1002"/>
    <w:link w:val="1100"/>
    <w:qFormat/>
    <w:pPr>
      <w:pBdr/>
      <w:spacing/>
      <w:ind/>
      <w:jc w:val="center"/>
    </w:pPr>
    <w:rPr>
      <w:b/>
      <w:bCs/>
      <w:sz w:val="32"/>
      <w:szCs w:val="26"/>
    </w:rPr>
  </w:style>
  <w:style w:type="character" w:styleId="1100" w:customStyle="1">
    <w:name w:val="Title Char"/>
    <w:basedOn w:val="1007"/>
    <w:link w:val="1099"/>
    <w:pPr>
      <w:pBdr/>
      <w:spacing/>
      <w:ind/>
    </w:pPr>
    <w:rPr>
      <w:rFonts w:ascii="Times New Roman" w:hAnsi="Times New Roman" w:eastAsia="Times New Roman" w:cs="Times New Roman"/>
      <w:b/>
      <w:bCs/>
      <w:sz w:val="32"/>
      <w:szCs w:val="26"/>
    </w:rPr>
  </w:style>
  <w:style w:type="character" w:styleId="1101" w:customStyle="1">
    <w:name w:val="Unresolved Mention1"/>
    <w:basedOn w:val="1007"/>
    <w:uiPriority w:val="99"/>
    <w:semiHidden/>
    <w:unhideWhenUsed/>
    <w:pPr>
      <w:pBdr/>
      <w:spacing/>
      <w:ind/>
    </w:pPr>
    <w:rPr>
      <w:color w:val="605e5c"/>
      <w:shd w:val="clear" w:color="auto" w:fill="e1dfdd"/>
    </w:rPr>
  </w:style>
  <w:style w:type="character" w:styleId="1102" w:customStyle="1">
    <w:name w:val="Body text (3)_"/>
    <w:link w:val="1103"/>
    <w:pPr>
      <w:pBdr/>
      <w:spacing/>
      <w:ind/>
    </w:pPr>
    <w:rPr>
      <w:rFonts w:ascii="Times New Roman" w:hAnsi="Times New Roman" w:cs="Times New Roman"/>
      <w:i/>
      <w:iCs/>
      <w:spacing w:val="4"/>
      <w:shd w:val="clear" w:color="auto" w:fill="ffffff"/>
    </w:rPr>
  </w:style>
  <w:style w:type="paragraph" w:styleId="1103" w:customStyle="1">
    <w:name w:val="Body text (3)1"/>
    <w:basedOn w:val="1002"/>
    <w:link w:val="110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4" w:customStyle="1">
    <w:name w:val="t-j"/>
    <w:basedOn w:val="1002"/>
    <w:pPr>
      <w:pBdr/>
      <w:spacing w:after="100" w:afterAutospacing="1" w:before="100" w:beforeAutospacing="1"/>
      <w:ind/>
    </w:pPr>
  </w:style>
  <w:style w:type="character" w:styleId="1105" w:customStyle="1">
    <w:name w:val="Unresolved Mention2"/>
    <w:basedOn w:val="1007"/>
    <w:uiPriority w:val="99"/>
    <w:semiHidden/>
    <w:unhideWhenUsed/>
    <w:pPr>
      <w:pBdr/>
      <w:spacing/>
      <w:ind/>
    </w:pPr>
    <w:rPr>
      <w:color w:val="605e5c"/>
      <w:shd w:val="clear" w:color="auto" w:fill="e1dfdd"/>
    </w:rPr>
  </w:style>
  <w:style w:type="character" w:styleId="1106">
    <w:name w:val="FollowedHyperlink"/>
    <w:basedOn w:val="1007"/>
    <w:uiPriority w:val="99"/>
    <w:semiHidden/>
    <w:unhideWhenUsed/>
    <w:pPr>
      <w:pBdr/>
      <w:spacing/>
      <w:ind/>
    </w:pPr>
    <w:rPr>
      <w:color w:val="800080" w:themeColor="followedHyperlink"/>
      <w:u w:val="single"/>
    </w:rPr>
  </w:style>
  <w:style w:type="character" w:styleId="1107" w:customStyle="1">
    <w:name w:val="text"/>
    <w:basedOn w:val="1007"/>
    <w:pPr>
      <w:pBdr/>
      <w:spacing/>
      <w:ind/>
    </w:pPr>
  </w:style>
  <w:style w:type="character" w:styleId="1108" w:customStyle="1">
    <w:name w:val="card-send-time__sendtime"/>
    <w:basedOn w:val="1007"/>
    <w:pPr>
      <w:pBdr/>
      <w:spacing/>
      <w:ind/>
    </w:pPr>
  </w:style>
  <w:style w:type="character" w:styleId="1109" w:customStyle="1">
    <w:name w:val="Đề cập Chưa giải quyết1"/>
    <w:basedOn w:val="1007"/>
    <w:uiPriority w:val="99"/>
    <w:semiHidden/>
    <w:unhideWhenUsed/>
    <w:pPr>
      <w:pBdr/>
      <w:spacing/>
      <w:ind/>
    </w:pPr>
    <w:rPr>
      <w:color w:val="605e5c"/>
      <w:shd w:val="clear" w:color="auto" w:fill="e1dfdd"/>
    </w:rPr>
  </w:style>
  <w:style w:type="paragraph" w:styleId="1110" w:customStyle="1">
    <w:name w:val="nqtitle"/>
    <w:basedOn w:val="1002"/>
    <w:pPr>
      <w:pBdr/>
      <w:spacing w:after="100" w:afterAutospacing="1" w:before="100" w:beforeAutospacing="1"/>
      <w:ind/>
    </w:pPr>
    <w:rPr>
      <w:lang w:val="vi-VN" w:eastAsia="vi-VN"/>
    </w:rPr>
  </w:style>
  <w:style w:type="character" w:styleId="1111" w:customStyle="1">
    <w:name w:val="List Paragraph Char"/>
    <w:link w:val="1024"/>
    <w:uiPriority w:val="34"/>
    <w:qFormat/>
    <w:pPr>
      <w:pBdr/>
      <w:spacing/>
      <w:ind/>
    </w:pPr>
    <w:rPr>
      <w:rFonts w:ascii="Times New Roman" w:hAnsi="Times New Roman" w:eastAsia="Times New Roman" w:cs="Times New Roman"/>
      <w:sz w:val="24"/>
      <w:szCs w:val="24"/>
    </w:rPr>
  </w:style>
  <w:style w:type="character" w:styleId="1112" w:customStyle="1">
    <w:name w:val="Đề cập Chưa giải quyết2"/>
    <w:basedOn w:val="1007"/>
    <w:uiPriority w:val="99"/>
    <w:semiHidden/>
    <w:unhideWhenUsed/>
    <w:pPr>
      <w:pBdr/>
      <w:spacing/>
      <w:ind/>
    </w:pPr>
    <w:rPr>
      <w:color w:val="605e5c"/>
      <w:shd w:val="clear" w:color="auto" w:fill="e1dfdd"/>
    </w:rPr>
  </w:style>
  <w:style w:type="character" w:styleId="1113" w:customStyle="1">
    <w:name w:val="Unresolved Mention3"/>
    <w:basedOn w:val="1007"/>
    <w:uiPriority w:val="99"/>
    <w:semiHidden/>
    <w:unhideWhenUsed/>
    <w:pPr>
      <w:pBdr/>
      <w:spacing/>
      <w:ind/>
    </w:pPr>
    <w:rPr>
      <w:color w:val="605e5c"/>
      <w:shd w:val="clear" w:color="auto" w:fill="e1dfdd"/>
    </w:rPr>
  </w:style>
  <w:style w:type="character" w:styleId="1114" w:customStyle="1">
    <w:name w:val="copy"/>
    <w:basedOn w:val="1007"/>
    <w:pPr>
      <w:pBdr/>
      <w:spacing/>
      <w:ind/>
    </w:pPr>
  </w:style>
  <w:style w:type="paragraph" w:styleId="1115" w:customStyle="1">
    <w:name w:val="align-justify"/>
    <w:basedOn w:val="1002"/>
    <w:pPr>
      <w:pBdr/>
      <w:spacing w:after="100" w:afterAutospacing="1" w:before="100" w:beforeAutospacing="1"/>
      <w:ind/>
    </w:pPr>
  </w:style>
  <w:style w:type="character" w:styleId="1116" w:customStyle="1">
    <w:name w:val="btn"/>
    <w:basedOn w:val="1007"/>
    <w:pPr>
      <w:pBdr/>
      <w:spacing/>
      <w:ind/>
    </w:pPr>
  </w:style>
  <w:style w:type="character" w:styleId="1117" w:customStyle="1">
    <w:name w:val="hide_mobile"/>
    <w:basedOn w:val="1007"/>
    <w:pPr>
      <w:pBdr/>
      <w:spacing/>
      <w:ind/>
    </w:pPr>
  </w:style>
  <w:style w:type="character" w:styleId="1118">
    <w:name w:val="Emphasis"/>
    <w:basedOn w:val="1007"/>
    <w:uiPriority w:val="20"/>
    <w:qFormat/>
    <w:pPr>
      <w:pBdr/>
      <w:spacing/>
      <w:ind/>
    </w:pPr>
    <w:rPr>
      <w:i/>
      <w:iCs/>
    </w:rPr>
  </w:style>
  <w:style w:type="character" w:styleId="1119" w:customStyle="1">
    <w:name w:val="t1"/>
    <w:basedOn w:val="1007"/>
    <w:pPr>
      <w:pBdr/>
      <w:spacing/>
      <w:ind/>
    </w:pPr>
  </w:style>
  <w:style w:type="character" w:styleId="1120" w:customStyle="1">
    <w:name w:val="Unresolved Mention4"/>
    <w:basedOn w:val="1007"/>
    <w:uiPriority w:val="99"/>
    <w:semiHidden/>
    <w:unhideWhenUsed/>
    <w:pPr>
      <w:pBdr/>
      <w:spacing/>
      <w:ind/>
    </w:pPr>
    <w:rPr>
      <w:color w:val="605e5c"/>
      <w:shd w:val="clear" w:color="auto" w:fill="e1dfdd"/>
    </w:rPr>
  </w:style>
  <w:style w:type="character" w:styleId="1121">
    <w:name w:val="Unresolved Mention"/>
    <w:basedOn w:val="100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jpg"/><Relationship Id="rId17" Type="http://schemas.openxmlformats.org/officeDocument/2006/relationships/image" Target="media/image5.jpg"/><Relationship Id="rId18" Type="http://schemas.openxmlformats.org/officeDocument/2006/relationships/image" Target="media/image6.jpg"/><Relationship Id="rId19" Type="http://schemas.openxmlformats.org/officeDocument/2006/relationships/image" Target="media/image7.jpg"/><Relationship Id="rId20" Type="http://schemas.openxmlformats.org/officeDocument/2006/relationships/image" Target="media/image8.jpg"/><Relationship Id="rId21" Type="http://schemas.openxmlformats.org/officeDocument/2006/relationships/image" Target="media/image9.jpg"/><Relationship Id="rId22" Type="http://schemas.openxmlformats.org/officeDocument/2006/relationships/image" Target="media/image10.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onlyoffice/9.0.4.50</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487</cp:revision>
  <dcterms:created xsi:type="dcterms:W3CDTF">2025-09-15T02:01:00Z</dcterms:created>
  <dcterms:modified xsi:type="dcterms:W3CDTF">2025-12-05T04:53:07Z</dcterms:modified>
</cp:coreProperties>
</file>